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961A1" w14:textId="77777777" w:rsidR="002C2E29" w:rsidRPr="0000131B" w:rsidRDefault="004033D8" w:rsidP="00A443CF">
      <w:pPr>
        <w:pStyle w:val="HeadHatzaotHok"/>
        <w:jc w:val="right"/>
        <w:rPr>
          <w:b w:val="0"/>
          <w:bCs w:val="0"/>
          <w:szCs w:val="20"/>
        </w:rPr>
      </w:pPr>
      <w:r w:rsidRPr="0000131B">
        <w:rPr>
          <w:rFonts w:hint="cs"/>
          <w:b w:val="0"/>
          <w:bCs w:val="0"/>
          <w:szCs w:val="20"/>
          <w:rtl/>
        </w:rPr>
        <w:t xml:space="preserve">מספר פנימי: </w:t>
      </w:r>
      <w:bookmarkStart w:id="0" w:name="LGS_Internal_ID"/>
      <w:r>
        <w:rPr>
          <w:rFonts w:hint="cs"/>
          <w:b w:val="0"/>
          <w:bCs w:val="0"/>
          <w:szCs w:val="20"/>
          <w:rtl/>
        </w:rPr>
        <w:t>2019888</w:t>
      </w:r>
      <w:bookmarkEnd w:id="0"/>
    </w:p>
    <w:p w14:paraId="7F6961A2" w14:textId="53D639AE" w:rsidR="00E13C27" w:rsidRPr="00DB7060" w:rsidRDefault="00E13C27" w:rsidP="00A443CF">
      <w:pPr>
        <w:pStyle w:val="HeadHatzaotHok"/>
        <w:rPr>
          <w:sz w:val="28"/>
          <w:szCs w:val="28"/>
          <w:rtl/>
        </w:rPr>
      </w:pPr>
      <w:r w:rsidRPr="00DB7060">
        <w:rPr>
          <w:rFonts w:hint="cs"/>
          <w:sz w:val="28"/>
          <w:szCs w:val="28"/>
          <w:rtl/>
        </w:rPr>
        <w:t xml:space="preserve">הכנסת </w:t>
      </w:r>
      <w:bookmarkStart w:id="1" w:name="LGS_Knesset_Num"/>
      <w:r>
        <w:rPr>
          <w:rFonts w:hint="cs"/>
          <w:sz w:val="28"/>
          <w:szCs w:val="28"/>
          <w:rtl/>
        </w:rPr>
        <w:t>העשרים</w:t>
      </w:r>
      <w:bookmarkEnd w:id="1"/>
    </w:p>
    <w:p w14:paraId="7F6961A3" w14:textId="77777777" w:rsidR="00E13C27" w:rsidRPr="00F67051" w:rsidRDefault="00E13C27" w:rsidP="00E13C27">
      <w:pPr>
        <w:rPr>
          <w:rFonts w:cs="David"/>
          <w:b/>
          <w:bCs/>
          <w:sz w:val="26"/>
          <w:szCs w:val="26"/>
          <w:rtl/>
        </w:rPr>
      </w:pPr>
    </w:p>
    <w:p w14:paraId="7F6961A6" w14:textId="77777777" w:rsidR="00E13C27" w:rsidRDefault="008F6665" w:rsidP="00930EFE">
      <w:pPr>
        <w:pStyle w:val="David"/>
        <w:spacing w:line="360" w:lineRule="auto"/>
        <w:ind w:left="3544"/>
        <w:rPr>
          <w:b/>
          <w:bCs/>
          <w:rtl/>
        </w:rPr>
      </w:pPr>
      <w:bookmarkStart w:id="2" w:name="LGS_Initiators_List"/>
      <w:r>
        <w:rPr>
          <w:b/>
          <w:bCs/>
          <w:rtl/>
        </w:rPr>
        <w:t>יוזמת:</w:t>
      </w:r>
      <w:r>
        <w:tab/>
      </w:r>
      <w:r>
        <w:rPr>
          <w:b/>
          <w:bCs/>
          <w:rtl/>
        </w:rPr>
        <w:t xml:space="preserve">      חברת הכנסת</w:t>
      </w:r>
      <w:bookmarkEnd w:id="2"/>
      <w:r w:rsidR="00B35784" w:rsidRPr="00F67051">
        <w:rPr>
          <w:b/>
          <w:bCs/>
        </w:rPr>
        <w:tab/>
      </w:r>
      <w:bookmarkStart w:id="3" w:name="LGS_PM_Names"/>
      <w:r>
        <w:rPr>
          <w:rFonts w:hint="cs"/>
          <w:b/>
          <w:bCs/>
          <w:rtl/>
        </w:rPr>
        <w:t>קארין אלהרר</w:t>
      </w:r>
      <w:bookmarkEnd w:id="3"/>
    </w:p>
    <w:p w14:paraId="7F6961AA" w14:textId="39F9D96B" w:rsidR="00E13C27" w:rsidRPr="00CF1AA2" w:rsidRDefault="007D585A" w:rsidP="0036422C">
      <w:pPr>
        <w:pStyle w:val="David"/>
        <w:spacing w:before="0" w:line="360" w:lineRule="auto"/>
        <w:ind w:left="3544"/>
        <w:rPr>
          <w:b/>
          <w:bCs/>
          <w:sz w:val="16"/>
          <w:szCs w:val="16"/>
          <w:rtl/>
        </w:rPr>
      </w:pPr>
      <w:bookmarkStart w:id="4" w:name="LGS_Join_List"/>
      <w:r>
        <w:rPr>
          <w:rtl/>
        </w:rPr>
        <w:t xml:space="preserve"> </w:t>
      </w:r>
      <w:bookmarkEnd w:id="4"/>
      <w:r w:rsidR="002200A1" w:rsidRPr="00CF1AA2">
        <w:rPr>
          <w:rFonts w:hint="cs"/>
          <w:rtl/>
        </w:rPr>
        <w:tab/>
      </w:r>
      <w:bookmarkStart w:id="5" w:name="LGS_PM_NamesJoin"/>
      <w:r>
        <w:rPr>
          <w:rFonts w:hint="cs"/>
          <w:rtl/>
        </w:rPr>
        <w:t xml:space="preserve"> </w:t>
      </w:r>
      <w:bookmarkEnd w:id="5"/>
    </w:p>
    <w:p w14:paraId="34DB4103" w14:textId="77777777" w:rsidR="00904591" w:rsidRPr="00904591" w:rsidRDefault="00266D86" w:rsidP="0036422C">
      <w:pPr>
        <w:pStyle w:val="David"/>
        <w:spacing w:before="0" w:line="360" w:lineRule="auto"/>
        <w:ind w:left="3544"/>
        <w:rPr>
          <w:sz w:val="4"/>
          <w:szCs w:val="4"/>
          <w:rtl/>
        </w:rPr>
      </w:pPr>
      <w:r>
        <w:t>____</w:t>
      </w:r>
      <w:r w:rsidR="00E374F2">
        <w:t>__</w:t>
      </w:r>
      <w:r>
        <w:t>________________________________________</w:t>
      </w:r>
      <w:r w:rsidR="00E06736" w:rsidRPr="00E06736">
        <w:tab/>
      </w:r>
      <w:r w:rsidR="00E13C27" w:rsidRPr="00E06736">
        <w:rPr>
          <w:rFonts w:hint="cs"/>
          <w:rtl/>
        </w:rPr>
        <w:tab/>
      </w:r>
      <w:r w:rsidR="00E13C27" w:rsidRPr="00E06736">
        <w:rPr>
          <w:rFonts w:hint="cs"/>
          <w:rtl/>
        </w:rPr>
        <w:tab/>
      </w:r>
      <w:r w:rsidR="00E13C27" w:rsidRPr="00E06736">
        <w:rPr>
          <w:rFonts w:hint="cs"/>
          <w:rtl/>
        </w:rPr>
        <w:tab/>
      </w:r>
      <w:r w:rsidR="00904591">
        <w:t xml:space="preserve">           </w:t>
      </w:r>
    </w:p>
    <w:p w14:paraId="7F6961AB" w14:textId="256138AA" w:rsidR="00E13C27" w:rsidRPr="00E06736" w:rsidRDefault="00904591" w:rsidP="00904591">
      <w:pPr>
        <w:pStyle w:val="David"/>
        <w:spacing w:before="0" w:line="240" w:lineRule="auto"/>
        <w:ind w:left="3544"/>
        <w:rPr>
          <w:rtl/>
        </w:rPr>
      </w:pPr>
      <w:r>
        <w:t xml:space="preserve">                                            </w:t>
      </w:r>
      <w:r w:rsidR="008F1308">
        <w:t xml:space="preserve"> </w:t>
      </w:r>
      <w:bookmarkStart w:id="6" w:name="Private_Number"/>
      <w:r>
        <w:rPr>
          <w:rFonts w:hint="cs"/>
          <w:rtl/>
        </w:rPr>
        <w:t xml:space="preserve"> </w:t>
      </w:r>
      <w:bookmarkEnd w:id="6"/>
    </w:p>
    <w:p w14:paraId="7F6961AC" w14:textId="77777777" w:rsidR="00E13C27" w:rsidRDefault="00E13C27" w:rsidP="00E13C27">
      <w:pPr>
        <w:spacing w:before="0" w:line="360" w:lineRule="auto"/>
        <w:ind w:left="2880" w:firstLine="720"/>
        <w:rPr>
          <w:rFonts w:cs="David"/>
          <w:sz w:val="26"/>
          <w:szCs w:val="26"/>
          <w:rtl/>
        </w:rPr>
      </w:pPr>
    </w:p>
    <w:p w14:paraId="7F6961AE" w14:textId="449878A9" w:rsidR="00E13C27" w:rsidRDefault="00A443CF" w:rsidP="007D1E33">
      <w:pPr>
        <w:pStyle w:val="HeadHatzaotHok"/>
        <w:rPr>
          <w:rtl/>
        </w:rPr>
      </w:pPr>
      <w:bookmarkStart w:id="7" w:name="LGS_Subject"/>
      <w:r>
        <w:rPr>
          <w:rFonts w:hint="cs"/>
          <w:rtl/>
        </w:rPr>
        <w:t>הצעת חוק חופש המידע (תיקון – הסדרי אכיפה), התשע"ז–2017</w:t>
      </w:r>
      <w:bookmarkEnd w:id="7"/>
    </w:p>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624"/>
        <w:gridCol w:w="624"/>
        <w:gridCol w:w="624"/>
        <w:gridCol w:w="624"/>
        <w:gridCol w:w="4650"/>
      </w:tblGrid>
      <w:tr w:rsidR="002F1D80" w14:paraId="035EEF3D" w14:textId="77777777" w:rsidTr="007D1E33">
        <w:trPr>
          <w:cantSplit/>
          <w:trHeight w:val="60"/>
        </w:trPr>
        <w:tc>
          <w:tcPr>
            <w:tcW w:w="1871" w:type="dxa"/>
          </w:tcPr>
          <w:p w14:paraId="3863FF98" w14:textId="77777777" w:rsidR="002F1D80" w:rsidRDefault="002F1D80" w:rsidP="002C3041">
            <w:pPr>
              <w:pStyle w:val="TableSideHeading"/>
              <w:keepLines w:val="0"/>
            </w:pPr>
          </w:p>
        </w:tc>
        <w:tc>
          <w:tcPr>
            <w:tcW w:w="624" w:type="dxa"/>
          </w:tcPr>
          <w:p w14:paraId="6F513EF6" w14:textId="77777777" w:rsidR="002F1D80" w:rsidRDefault="002F1D80" w:rsidP="002C3041">
            <w:pPr>
              <w:pStyle w:val="TableText"/>
              <w:keepLines w:val="0"/>
            </w:pPr>
          </w:p>
        </w:tc>
        <w:tc>
          <w:tcPr>
            <w:tcW w:w="7146" w:type="dxa"/>
            <w:gridSpan w:val="5"/>
          </w:tcPr>
          <w:p w14:paraId="1AE94DEB" w14:textId="77777777" w:rsidR="002F1D80" w:rsidRPr="007D1E33" w:rsidRDefault="002F1D80" w:rsidP="007D1E33">
            <w:pPr>
              <w:pStyle w:val="TableHead"/>
              <w:keepLines w:val="0"/>
              <w:jc w:val="both"/>
              <w:rPr>
                <w:b w:val="0"/>
                <w:bCs w:val="0"/>
              </w:rPr>
            </w:pPr>
          </w:p>
        </w:tc>
      </w:tr>
      <w:tr w:rsidR="007D1E33" w14:paraId="50ADEC4B" w14:textId="77777777" w:rsidTr="007D1E33">
        <w:trPr>
          <w:cantSplit/>
          <w:trHeight w:val="60"/>
        </w:trPr>
        <w:tc>
          <w:tcPr>
            <w:tcW w:w="1871" w:type="dxa"/>
          </w:tcPr>
          <w:p w14:paraId="42710EFC" w14:textId="77777777" w:rsidR="007D1E33" w:rsidRPr="00A759A9" w:rsidRDefault="007D1E33" w:rsidP="007D1E33">
            <w:pPr>
              <w:pStyle w:val="TableSideHeading"/>
              <w:keepLines w:val="0"/>
            </w:pPr>
            <w:r w:rsidRPr="007D1E33">
              <w:rPr>
                <w:rtl/>
              </w:rPr>
              <w:t>תיקון סעיף 4</w:t>
            </w:r>
          </w:p>
        </w:tc>
        <w:tc>
          <w:tcPr>
            <w:tcW w:w="624" w:type="dxa"/>
          </w:tcPr>
          <w:p w14:paraId="0658B916" w14:textId="77777777" w:rsidR="007D1E33" w:rsidRPr="00A759A9" w:rsidRDefault="007D1E33" w:rsidP="007D1E33">
            <w:pPr>
              <w:pStyle w:val="TableText"/>
              <w:keepLines w:val="0"/>
            </w:pPr>
            <w:r w:rsidRPr="007D1E33">
              <w:rPr>
                <w:rtl/>
              </w:rPr>
              <w:t>1.</w:t>
            </w:r>
          </w:p>
        </w:tc>
        <w:tc>
          <w:tcPr>
            <w:tcW w:w="7146" w:type="dxa"/>
            <w:gridSpan w:val="5"/>
          </w:tcPr>
          <w:p w14:paraId="14C124D0" w14:textId="77777777" w:rsidR="007D1E33" w:rsidRPr="007D1E33" w:rsidRDefault="007D1E33" w:rsidP="007D1E33">
            <w:pPr>
              <w:pStyle w:val="TableHead"/>
              <w:keepLines w:val="0"/>
              <w:jc w:val="both"/>
              <w:rPr>
                <w:b w:val="0"/>
                <w:bCs w:val="0"/>
              </w:rPr>
            </w:pPr>
            <w:r w:rsidRPr="007D1E33">
              <w:rPr>
                <w:b w:val="0"/>
                <w:bCs w:val="0"/>
                <w:rtl/>
              </w:rPr>
              <w:t>בחוק חופש המידע, התשנ"ח–1998</w:t>
            </w:r>
            <w:r w:rsidRPr="007D1E33">
              <w:rPr>
                <w:b w:val="0"/>
                <w:bCs w:val="0"/>
                <w:rtl/>
              </w:rPr>
              <w:footnoteReference w:id="2"/>
            </w:r>
            <w:r w:rsidRPr="007D1E33">
              <w:rPr>
                <w:b w:val="0"/>
                <w:bCs w:val="0"/>
                <w:rtl/>
              </w:rPr>
              <w:t xml:space="preserve"> (להלן – החוק העיקרי), בסעיף 4(א), הסיפה החל במילים "את רשימת הרשויות הציבוריות" תסומן "(1)", בפסקה (1) המילה "את" – תימחק, ואחריה יבוא:  </w:t>
            </w:r>
          </w:p>
        </w:tc>
      </w:tr>
      <w:tr w:rsidR="007D1E33" w14:paraId="7CD508A6" w14:textId="77777777" w:rsidTr="007D1E33">
        <w:trPr>
          <w:cantSplit/>
          <w:trHeight w:val="60"/>
        </w:trPr>
        <w:tc>
          <w:tcPr>
            <w:tcW w:w="1871" w:type="dxa"/>
          </w:tcPr>
          <w:p w14:paraId="3B4EE3F2" w14:textId="77777777" w:rsidR="007D1E33" w:rsidRPr="00A759A9" w:rsidRDefault="007D1E33" w:rsidP="007D1E33">
            <w:pPr>
              <w:pStyle w:val="TableSideHeading"/>
              <w:keepLines w:val="0"/>
            </w:pPr>
          </w:p>
        </w:tc>
        <w:tc>
          <w:tcPr>
            <w:tcW w:w="624" w:type="dxa"/>
          </w:tcPr>
          <w:p w14:paraId="5C8B8790" w14:textId="77777777" w:rsidR="007D1E33" w:rsidRPr="00A759A9" w:rsidRDefault="007D1E33" w:rsidP="007D1E33">
            <w:pPr>
              <w:pStyle w:val="TableText"/>
              <w:keepLines w:val="0"/>
            </w:pPr>
          </w:p>
        </w:tc>
        <w:tc>
          <w:tcPr>
            <w:tcW w:w="7146" w:type="dxa"/>
            <w:gridSpan w:val="5"/>
          </w:tcPr>
          <w:p w14:paraId="6FDC988B" w14:textId="77777777" w:rsidR="007D1E33" w:rsidRPr="007D1E33" w:rsidRDefault="007D1E33" w:rsidP="007D1E33">
            <w:pPr>
              <w:pStyle w:val="TableHead"/>
              <w:keepLines w:val="0"/>
              <w:jc w:val="both"/>
              <w:rPr>
                <w:b w:val="0"/>
                <w:bCs w:val="0"/>
              </w:rPr>
            </w:pPr>
            <w:r w:rsidRPr="007D1E33">
              <w:rPr>
                <w:b w:val="0"/>
                <w:bCs w:val="0"/>
                <w:rtl/>
              </w:rPr>
              <w:t>"(2)</w:t>
            </w:r>
            <w:r w:rsidRPr="007D1E33">
              <w:rPr>
                <w:b w:val="0"/>
                <w:bCs w:val="0"/>
                <w:rtl/>
              </w:rPr>
              <w:tab/>
              <w:t>רשימת הגופים שבשליטתה או בהחזקתה אשר חוק זה אינו חל עליהם; רשימות כאמור בפסקה זו יעודכנו אחת לשנה."</w:t>
            </w:r>
          </w:p>
        </w:tc>
      </w:tr>
      <w:tr w:rsidR="007D1E33" w14:paraId="05E4FE02" w14:textId="77777777" w:rsidTr="007D1E33">
        <w:trPr>
          <w:cantSplit/>
          <w:trHeight w:val="60"/>
        </w:trPr>
        <w:tc>
          <w:tcPr>
            <w:tcW w:w="1871" w:type="dxa"/>
          </w:tcPr>
          <w:p w14:paraId="13B9C7C3" w14:textId="77777777" w:rsidR="007D1E33" w:rsidRPr="00A759A9" w:rsidRDefault="007D1E33" w:rsidP="007D1E33">
            <w:pPr>
              <w:pStyle w:val="TableSideHeading"/>
              <w:keepLines w:val="0"/>
            </w:pPr>
            <w:r w:rsidRPr="007D1E33">
              <w:rPr>
                <w:rtl/>
              </w:rPr>
              <w:t>תיקון סעיף 5</w:t>
            </w:r>
          </w:p>
        </w:tc>
        <w:tc>
          <w:tcPr>
            <w:tcW w:w="624" w:type="dxa"/>
          </w:tcPr>
          <w:p w14:paraId="59313644" w14:textId="77777777" w:rsidR="007D1E33" w:rsidRPr="00A759A9" w:rsidRDefault="007D1E33" w:rsidP="007D1E33">
            <w:pPr>
              <w:pStyle w:val="TableText"/>
              <w:keepLines w:val="0"/>
            </w:pPr>
            <w:r w:rsidRPr="007D1E33">
              <w:rPr>
                <w:rtl/>
              </w:rPr>
              <w:t>2.</w:t>
            </w:r>
          </w:p>
        </w:tc>
        <w:tc>
          <w:tcPr>
            <w:tcW w:w="7146" w:type="dxa"/>
            <w:gridSpan w:val="5"/>
          </w:tcPr>
          <w:p w14:paraId="4FFBB1E8" w14:textId="77777777" w:rsidR="007D1E33" w:rsidRPr="007D1E33" w:rsidRDefault="007D1E33" w:rsidP="007D1E33">
            <w:pPr>
              <w:pStyle w:val="TableHead"/>
              <w:keepLines w:val="0"/>
              <w:jc w:val="both"/>
              <w:rPr>
                <w:b w:val="0"/>
                <w:bCs w:val="0"/>
              </w:rPr>
            </w:pPr>
            <w:r w:rsidRPr="007D1E33">
              <w:rPr>
                <w:b w:val="0"/>
                <w:bCs w:val="0"/>
                <w:rtl/>
              </w:rPr>
              <w:t>בסעיף 5 לחוק העיקרי, בסופו יבוא:</w:t>
            </w:r>
          </w:p>
        </w:tc>
      </w:tr>
      <w:tr w:rsidR="007D1E33" w14:paraId="6C85BCFE" w14:textId="77777777" w:rsidTr="007D1E33">
        <w:trPr>
          <w:cantSplit/>
          <w:trHeight w:val="60"/>
        </w:trPr>
        <w:tc>
          <w:tcPr>
            <w:tcW w:w="1871" w:type="dxa"/>
          </w:tcPr>
          <w:p w14:paraId="3CF13558" w14:textId="77777777" w:rsidR="007D1E33" w:rsidRPr="00A759A9" w:rsidRDefault="007D1E33" w:rsidP="007D1E33">
            <w:pPr>
              <w:pStyle w:val="TableSideHeading"/>
              <w:keepLines w:val="0"/>
            </w:pPr>
          </w:p>
        </w:tc>
        <w:tc>
          <w:tcPr>
            <w:tcW w:w="624" w:type="dxa"/>
          </w:tcPr>
          <w:p w14:paraId="0C9847AA" w14:textId="77777777" w:rsidR="007D1E33" w:rsidRPr="00A759A9" w:rsidRDefault="007D1E33" w:rsidP="007D1E33">
            <w:pPr>
              <w:pStyle w:val="TableText"/>
              <w:keepLines w:val="0"/>
            </w:pPr>
          </w:p>
        </w:tc>
        <w:tc>
          <w:tcPr>
            <w:tcW w:w="7146" w:type="dxa"/>
            <w:gridSpan w:val="5"/>
          </w:tcPr>
          <w:p w14:paraId="4901FE4D" w14:textId="77777777" w:rsidR="007D1E33" w:rsidRPr="007D1E33" w:rsidRDefault="007D1E33" w:rsidP="007D1E33">
            <w:pPr>
              <w:pStyle w:val="TableHead"/>
              <w:keepLines w:val="0"/>
              <w:jc w:val="both"/>
              <w:rPr>
                <w:b w:val="0"/>
                <w:bCs w:val="0"/>
              </w:rPr>
            </w:pPr>
            <w:r w:rsidRPr="007D1E33">
              <w:rPr>
                <w:b w:val="0"/>
                <w:bCs w:val="0"/>
                <w:rtl/>
              </w:rPr>
              <w:t>"(ד)</w:t>
            </w:r>
            <w:r w:rsidRPr="007D1E33">
              <w:rPr>
                <w:b w:val="0"/>
                <w:bCs w:val="0"/>
                <w:rtl/>
              </w:rPr>
              <w:tab/>
              <w:t>שר המשפטים יפרסם אחת לשנה,</w:t>
            </w:r>
            <w:r w:rsidRPr="007D1E33">
              <w:rPr>
                <w:rFonts w:hint="cs"/>
                <w:b w:val="0"/>
                <w:bCs w:val="0"/>
                <w:rtl/>
              </w:rPr>
              <w:t xml:space="preserve"> </w:t>
            </w:r>
            <w:r w:rsidRPr="007D1E33">
              <w:rPr>
                <w:b w:val="0"/>
                <w:bCs w:val="0"/>
                <w:rtl/>
              </w:rPr>
              <w:t>באתר האינטרנט של משרד המשפטים, אילו רשויות ציבוריות הפרו את חובתן לפי סעיף קטן (א) ואת משך זמן ההפרה.</w:t>
            </w:r>
          </w:p>
        </w:tc>
      </w:tr>
      <w:tr w:rsidR="007D1E33" w14:paraId="202AD3C2" w14:textId="77777777" w:rsidTr="007D1E33">
        <w:trPr>
          <w:cantSplit/>
          <w:trHeight w:val="60"/>
        </w:trPr>
        <w:tc>
          <w:tcPr>
            <w:tcW w:w="1871" w:type="dxa"/>
          </w:tcPr>
          <w:p w14:paraId="61B04120" w14:textId="77777777" w:rsidR="007D1E33" w:rsidRPr="00A759A9" w:rsidRDefault="007D1E33" w:rsidP="007D1E33">
            <w:pPr>
              <w:pStyle w:val="TableSideHeading"/>
              <w:keepLines w:val="0"/>
            </w:pPr>
          </w:p>
        </w:tc>
        <w:tc>
          <w:tcPr>
            <w:tcW w:w="624" w:type="dxa"/>
          </w:tcPr>
          <w:p w14:paraId="41BF5559" w14:textId="77777777" w:rsidR="007D1E33" w:rsidRPr="00A759A9" w:rsidRDefault="007D1E33" w:rsidP="007D1E33">
            <w:pPr>
              <w:pStyle w:val="TableText"/>
              <w:keepLines w:val="0"/>
            </w:pPr>
          </w:p>
        </w:tc>
        <w:tc>
          <w:tcPr>
            <w:tcW w:w="7146" w:type="dxa"/>
            <w:gridSpan w:val="5"/>
          </w:tcPr>
          <w:p w14:paraId="643A004F" w14:textId="14C8445E" w:rsidR="007D1E33" w:rsidRPr="007D1E33" w:rsidRDefault="007D1E33" w:rsidP="007D1E33">
            <w:pPr>
              <w:pStyle w:val="TableHead"/>
              <w:keepLines w:val="0"/>
              <w:jc w:val="both"/>
              <w:rPr>
                <w:b w:val="0"/>
                <w:bCs w:val="0"/>
              </w:rPr>
            </w:pPr>
            <w:r w:rsidRPr="007D1E33">
              <w:rPr>
                <w:b w:val="0"/>
                <w:bCs w:val="0"/>
                <w:rtl/>
              </w:rPr>
              <w:t>(ה)</w:t>
            </w:r>
            <w:r w:rsidRPr="007D1E33">
              <w:rPr>
                <w:b w:val="0"/>
                <w:bCs w:val="0"/>
                <w:rtl/>
              </w:rPr>
              <w:tab/>
              <w:t>הממשלה ת</w:t>
            </w:r>
            <w:r w:rsidRPr="007D1E33">
              <w:rPr>
                <w:rFonts w:hint="cs"/>
                <w:b w:val="0"/>
                <w:bCs w:val="0"/>
                <w:rtl/>
              </w:rPr>
              <w:t>הא רשאית ל</w:t>
            </w:r>
            <w:r w:rsidRPr="007D1E33">
              <w:rPr>
                <w:b w:val="0"/>
                <w:bCs w:val="0"/>
                <w:rtl/>
              </w:rPr>
              <w:t xml:space="preserve">עכב העברת </w:t>
            </w:r>
            <w:r>
              <w:rPr>
                <w:rFonts w:hint="cs"/>
                <w:b w:val="0"/>
                <w:bCs w:val="0"/>
                <w:rtl/>
              </w:rPr>
              <w:t>חמישית</w:t>
            </w:r>
            <w:r w:rsidRPr="007D1E33">
              <w:rPr>
                <w:b w:val="0"/>
                <w:bCs w:val="0"/>
                <w:rtl/>
              </w:rPr>
              <w:t xml:space="preserve"> מן הכספים שעליה להעביר לרשות ציבורית אשר לא פרסמה דין וחשבון שנתי </w:t>
            </w:r>
            <w:r>
              <w:rPr>
                <w:rFonts w:hint="cs"/>
                <w:b w:val="0"/>
                <w:bCs w:val="0"/>
                <w:rtl/>
              </w:rPr>
              <w:t>שלושה פעמים</w:t>
            </w:r>
            <w:r w:rsidRPr="007D1E33">
              <w:rPr>
                <w:b w:val="0"/>
                <w:bCs w:val="0"/>
                <w:rtl/>
              </w:rPr>
              <w:t xml:space="preserve"> בחמש השנים האחרונות; פרסום שר המשפטים לפי סעיף קטן (ד) יהווה ראיה לכאורה לאי פרסום כאמור."</w:t>
            </w:r>
          </w:p>
        </w:tc>
      </w:tr>
      <w:tr w:rsidR="007D1E33" w14:paraId="01C15CF2" w14:textId="77777777" w:rsidTr="007D1E33">
        <w:trPr>
          <w:cantSplit/>
          <w:trHeight w:val="60"/>
        </w:trPr>
        <w:tc>
          <w:tcPr>
            <w:tcW w:w="1871" w:type="dxa"/>
          </w:tcPr>
          <w:p w14:paraId="260A7306" w14:textId="77777777" w:rsidR="007D1E33" w:rsidRPr="00A759A9" w:rsidRDefault="007D1E33" w:rsidP="007D1E33">
            <w:pPr>
              <w:pStyle w:val="TableSideHeading"/>
              <w:keepLines w:val="0"/>
            </w:pPr>
            <w:r w:rsidRPr="007D1E33">
              <w:rPr>
                <w:rtl/>
              </w:rPr>
              <w:t>תיקון סעיף 6</w:t>
            </w:r>
          </w:p>
        </w:tc>
        <w:tc>
          <w:tcPr>
            <w:tcW w:w="624" w:type="dxa"/>
          </w:tcPr>
          <w:p w14:paraId="79EB73D5" w14:textId="77777777" w:rsidR="007D1E33" w:rsidRPr="00A759A9" w:rsidRDefault="007D1E33" w:rsidP="007D1E33">
            <w:pPr>
              <w:pStyle w:val="TableText"/>
              <w:keepLines w:val="0"/>
            </w:pPr>
            <w:r w:rsidRPr="007D1E33">
              <w:rPr>
                <w:rtl/>
              </w:rPr>
              <w:t>3.</w:t>
            </w:r>
          </w:p>
        </w:tc>
        <w:tc>
          <w:tcPr>
            <w:tcW w:w="7146" w:type="dxa"/>
            <w:gridSpan w:val="5"/>
          </w:tcPr>
          <w:p w14:paraId="58C7BD98" w14:textId="77777777" w:rsidR="007D1E33" w:rsidRPr="007D1E33" w:rsidRDefault="007D1E33" w:rsidP="007D1E33">
            <w:pPr>
              <w:pStyle w:val="TableHead"/>
              <w:keepLines w:val="0"/>
              <w:jc w:val="both"/>
              <w:rPr>
                <w:b w:val="0"/>
                <w:bCs w:val="0"/>
              </w:rPr>
            </w:pPr>
            <w:r w:rsidRPr="007D1E33">
              <w:rPr>
                <w:b w:val="0"/>
                <w:bCs w:val="0"/>
                <w:rtl/>
              </w:rPr>
              <w:t>בסעיף 6 לחוק העיקרי, בסופו יבוא:</w:t>
            </w:r>
          </w:p>
        </w:tc>
      </w:tr>
      <w:tr w:rsidR="007D1E33" w14:paraId="0F14473B" w14:textId="77777777" w:rsidTr="007D1E33">
        <w:trPr>
          <w:cantSplit/>
          <w:trHeight w:val="60"/>
        </w:trPr>
        <w:tc>
          <w:tcPr>
            <w:tcW w:w="1871" w:type="dxa"/>
          </w:tcPr>
          <w:p w14:paraId="72175287" w14:textId="77777777" w:rsidR="007D1E33" w:rsidRPr="00A759A9" w:rsidRDefault="007D1E33" w:rsidP="007D1E33">
            <w:pPr>
              <w:pStyle w:val="TableSideHeading"/>
              <w:keepLines w:val="0"/>
            </w:pPr>
          </w:p>
        </w:tc>
        <w:tc>
          <w:tcPr>
            <w:tcW w:w="624" w:type="dxa"/>
          </w:tcPr>
          <w:p w14:paraId="03C6021B" w14:textId="77777777" w:rsidR="007D1E33" w:rsidRPr="00A759A9" w:rsidRDefault="007D1E33" w:rsidP="007D1E33">
            <w:pPr>
              <w:pStyle w:val="TableText"/>
              <w:keepLines w:val="0"/>
            </w:pPr>
          </w:p>
        </w:tc>
        <w:tc>
          <w:tcPr>
            <w:tcW w:w="7146" w:type="dxa"/>
            <w:gridSpan w:val="5"/>
          </w:tcPr>
          <w:p w14:paraId="5E4B6FFE" w14:textId="77777777" w:rsidR="007D1E33" w:rsidRPr="007D1E33" w:rsidRDefault="007D1E33" w:rsidP="007D1E33">
            <w:pPr>
              <w:pStyle w:val="TableHead"/>
              <w:keepLines w:val="0"/>
              <w:jc w:val="both"/>
              <w:rPr>
                <w:b w:val="0"/>
                <w:bCs w:val="0"/>
              </w:rPr>
            </w:pPr>
            <w:r w:rsidRPr="007D1E33">
              <w:rPr>
                <w:b w:val="0"/>
                <w:bCs w:val="0"/>
                <w:rtl/>
              </w:rPr>
              <w:t>"(ד)</w:t>
            </w:r>
            <w:r w:rsidRPr="007D1E33">
              <w:rPr>
                <w:b w:val="0"/>
                <w:bCs w:val="0"/>
                <w:rtl/>
              </w:rPr>
              <w:tab/>
              <w:t>מבלי לגרוע מן האמור בסעיפים קטנים (א) עד (ג) יוצגו כל ההנחיות המנהליות</w:t>
            </w:r>
            <w:r w:rsidRPr="007D1E33">
              <w:rPr>
                <w:rFonts w:hint="cs"/>
                <w:b w:val="0"/>
                <w:bCs w:val="0"/>
                <w:rtl/>
              </w:rPr>
              <w:t xml:space="preserve"> הכתובות שעל פיהן היא פועלת,</w:t>
            </w:r>
            <w:r w:rsidRPr="007D1E33">
              <w:rPr>
                <w:b w:val="0"/>
                <w:bCs w:val="0"/>
                <w:rtl/>
              </w:rPr>
              <w:t xml:space="preserve"> וכל חוקי העזר</w:t>
            </w:r>
            <w:r w:rsidRPr="007D1E33">
              <w:rPr>
                <w:rFonts w:hint="cs"/>
                <w:b w:val="0"/>
                <w:bCs w:val="0"/>
                <w:rtl/>
              </w:rPr>
              <w:t xml:space="preserve"> בעלי נגיעה או חשיבות ציבורית, </w:t>
            </w:r>
            <w:r w:rsidRPr="007D1E33">
              <w:rPr>
                <w:b w:val="0"/>
                <w:bCs w:val="0"/>
                <w:rtl/>
              </w:rPr>
              <w:t>של רשות ציבורית ושל רשות מקומית, בהתאמה, באתרי האינטרנט של רשויות אלה."</w:t>
            </w:r>
          </w:p>
        </w:tc>
      </w:tr>
      <w:tr w:rsidR="007D1E33" w14:paraId="7D627142" w14:textId="77777777" w:rsidTr="007D1E33">
        <w:trPr>
          <w:cantSplit/>
          <w:trHeight w:val="60"/>
        </w:trPr>
        <w:tc>
          <w:tcPr>
            <w:tcW w:w="1871" w:type="dxa"/>
          </w:tcPr>
          <w:p w14:paraId="17FD61C0" w14:textId="77777777" w:rsidR="007D1E33" w:rsidRPr="00A759A9" w:rsidRDefault="007D1E33" w:rsidP="007D1E33">
            <w:pPr>
              <w:pStyle w:val="TableSideHeading"/>
              <w:keepLines w:val="0"/>
            </w:pPr>
            <w:r w:rsidRPr="007D1E33">
              <w:rPr>
                <w:rtl/>
              </w:rPr>
              <w:t>תיקון סעיף 7</w:t>
            </w:r>
          </w:p>
        </w:tc>
        <w:tc>
          <w:tcPr>
            <w:tcW w:w="624" w:type="dxa"/>
          </w:tcPr>
          <w:p w14:paraId="6E9BC8E1" w14:textId="77777777" w:rsidR="007D1E33" w:rsidRPr="00A759A9" w:rsidRDefault="007D1E33" w:rsidP="007D1E33">
            <w:pPr>
              <w:pStyle w:val="TableText"/>
              <w:keepLines w:val="0"/>
            </w:pPr>
            <w:r w:rsidRPr="007D1E33">
              <w:rPr>
                <w:rtl/>
              </w:rPr>
              <w:t>4.</w:t>
            </w:r>
          </w:p>
        </w:tc>
        <w:tc>
          <w:tcPr>
            <w:tcW w:w="7146" w:type="dxa"/>
            <w:gridSpan w:val="5"/>
          </w:tcPr>
          <w:p w14:paraId="6976608A" w14:textId="77777777" w:rsidR="007D1E33" w:rsidRPr="007D1E33" w:rsidRDefault="007D1E33" w:rsidP="007D1E33">
            <w:pPr>
              <w:pStyle w:val="TableHead"/>
              <w:keepLines w:val="0"/>
              <w:jc w:val="both"/>
              <w:rPr>
                <w:b w:val="0"/>
                <w:bCs w:val="0"/>
              </w:rPr>
            </w:pPr>
            <w:r w:rsidRPr="007D1E33">
              <w:rPr>
                <w:b w:val="0"/>
                <w:bCs w:val="0"/>
                <w:rtl/>
              </w:rPr>
              <w:t xml:space="preserve">בסעיף 7 לחוק העיקרי –  </w:t>
            </w:r>
          </w:p>
        </w:tc>
      </w:tr>
      <w:tr w:rsidR="007D1E33" w14:paraId="7B958584" w14:textId="77777777" w:rsidTr="007D1E33">
        <w:trPr>
          <w:cantSplit/>
          <w:trHeight w:val="60"/>
        </w:trPr>
        <w:tc>
          <w:tcPr>
            <w:tcW w:w="1871" w:type="dxa"/>
          </w:tcPr>
          <w:p w14:paraId="449FFD18" w14:textId="77777777" w:rsidR="007D1E33" w:rsidRPr="00A759A9" w:rsidRDefault="007D1E33" w:rsidP="007D1E33">
            <w:pPr>
              <w:pStyle w:val="TableSideHeading"/>
              <w:keepLines w:val="0"/>
            </w:pPr>
          </w:p>
        </w:tc>
        <w:tc>
          <w:tcPr>
            <w:tcW w:w="624" w:type="dxa"/>
          </w:tcPr>
          <w:p w14:paraId="48BD4EF8" w14:textId="77777777" w:rsidR="007D1E33" w:rsidRPr="00A759A9" w:rsidRDefault="007D1E33" w:rsidP="007D1E33">
            <w:pPr>
              <w:pStyle w:val="TableText"/>
              <w:keepLines w:val="0"/>
            </w:pPr>
          </w:p>
        </w:tc>
        <w:tc>
          <w:tcPr>
            <w:tcW w:w="7146" w:type="dxa"/>
            <w:gridSpan w:val="5"/>
          </w:tcPr>
          <w:p w14:paraId="218B645A" w14:textId="77777777" w:rsidR="007D1E33" w:rsidRPr="007D1E33" w:rsidRDefault="007D1E33" w:rsidP="007D1E33">
            <w:pPr>
              <w:pStyle w:val="TableHead"/>
              <w:keepLines w:val="0"/>
              <w:jc w:val="both"/>
              <w:rPr>
                <w:b w:val="0"/>
                <w:bCs w:val="0"/>
              </w:rPr>
            </w:pPr>
            <w:r w:rsidRPr="007D1E33">
              <w:rPr>
                <w:b w:val="0"/>
                <w:bCs w:val="0"/>
                <w:rtl/>
              </w:rPr>
              <w:t>(1)</w:t>
            </w:r>
            <w:r w:rsidRPr="007D1E33">
              <w:rPr>
                <w:b w:val="0"/>
                <w:bCs w:val="0"/>
                <w:rtl/>
              </w:rPr>
              <w:tab/>
              <w:t>לאחר סעיף קטן (ב) יבוא:</w:t>
            </w:r>
          </w:p>
        </w:tc>
      </w:tr>
      <w:tr w:rsidR="007D1E33" w14:paraId="2CF615CC" w14:textId="77777777" w:rsidTr="007D1E33">
        <w:tblPrEx>
          <w:tblLook w:val="0000" w:firstRow="0" w:lastRow="0" w:firstColumn="0" w:lastColumn="0" w:noHBand="0" w:noVBand="0"/>
        </w:tblPrEx>
        <w:trPr>
          <w:cantSplit/>
        </w:trPr>
        <w:tc>
          <w:tcPr>
            <w:tcW w:w="1870" w:type="dxa"/>
            <w:tcBorders>
              <w:top w:val="nil"/>
              <w:left w:val="nil"/>
              <w:bottom w:val="nil"/>
              <w:right w:val="nil"/>
            </w:tcBorders>
          </w:tcPr>
          <w:p w14:paraId="32301B54" w14:textId="77777777" w:rsidR="007D1E33" w:rsidRPr="00A759A9" w:rsidRDefault="007D1E33" w:rsidP="009E2C0E">
            <w:pPr>
              <w:pStyle w:val="TableSideHeading"/>
            </w:pPr>
          </w:p>
        </w:tc>
        <w:tc>
          <w:tcPr>
            <w:tcW w:w="624" w:type="dxa"/>
            <w:tcBorders>
              <w:top w:val="nil"/>
              <w:left w:val="nil"/>
              <w:bottom w:val="nil"/>
              <w:right w:val="nil"/>
            </w:tcBorders>
          </w:tcPr>
          <w:p w14:paraId="7A954173" w14:textId="77777777" w:rsidR="007D1E33" w:rsidRPr="00A759A9" w:rsidRDefault="007D1E33" w:rsidP="009E2C0E">
            <w:pPr>
              <w:pStyle w:val="TableText"/>
            </w:pPr>
          </w:p>
        </w:tc>
        <w:tc>
          <w:tcPr>
            <w:tcW w:w="624" w:type="dxa"/>
            <w:tcBorders>
              <w:top w:val="nil"/>
              <w:left w:val="nil"/>
              <w:bottom w:val="nil"/>
              <w:right w:val="nil"/>
            </w:tcBorders>
          </w:tcPr>
          <w:p w14:paraId="4AFCD41C" w14:textId="77777777" w:rsidR="007D1E33" w:rsidRPr="00A759A9" w:rsidRDefault="007D1E33" w:rsidP="009E2C0E">
            <w:pPr>
              <w:pStyle w:val="TableText"/>
              <w:ind w:right="0"/>
              <w:jc w:val="both"/>
            </w:pPr>
          </w:p>
        </w:tc>
        <w:tc>
          <w:tcPr>
            <w:tcW w:w="6519" w:type="dxa"/>
            <w:gridSpan w:val="4"/>
            <w:tcBorders>
              <w:top w:val="nil"/>
              <w:left w:val="nil"/>
              <w:bottom w:val="nil"/>
              <w:right w:val="nil"/>
            </w:tcBorders>
          </w:tcPr>
          <w:p w14:paraId="60620F69" w14:textId="77777777" w:rsidR="007D1E33" w:rsidRPr="00A759A9" w:rsidRDefault="007D1E33" w:rsidP="009E2C0E">
            <w:pPr>
              <w:pStyle w:val="TableBlock"/>
            </w:pPr>
            <w:r w:rsidRPr="00A759A9">
              <w:rPr>
                <w:sz w:val="26"/>
                <w:rtl/>
              </w:rPr>
              <w:t>"(ב1)</w:t>
            </w:r>
            <w:r w:rsidRPr="00A759A9">
              <w:rPr>
                <w:sz w:val="26"/>
                <w:rtl/>
              </w:rPr>
              <w:tab/>
              <w:t>אי מתן הודעה על ידי הממונה או על ידי ראש רשות ציבורית על הארכת התקופה כאמור בסעיפים קטנים (ב) ו-(ג) דינו כהסכמת  הרשות להעמיד את המידע לרשות המבקש.";</w:t>
            </w:r>
          </w:p>
        </w:tc>
      </w:tr>
      <w:tr w:rsidR="007D1E33" w14:paraId="7DBEE487" w14:textId="77777777" w:rsidTr="007D1E33">
        <w:tblPrEx>
          <w:tblLook w:val="0000" w:firstRow="0" w:lastRow="0" w:firstColumn="0" w:lastColumn="0" w:noHBand="0" w:noVBand="0"/>
        </w:tblPrEx>
        <w:trPr>
          <w:cantSplit/>
        </w:trPr>
        <w:tc>
          <w:tcPr>
            <w:tcW w:w="1870" w:type="dxa"/>
            <w:tcBorders>
              <w:top w:val="nil"/>
              <w:left w:val="nil"/>
              <w:bottom w:val="nil"/>
              <w:right w:val="nil"/>
            </w:tcBorders>
          </w:tcPr>
          <w:p w14:paraId="77AF071A" w14:textId="77777777" w:rsidR="007D1E33" w:rsidRPr="00A759A9" w:rsidRDefault="007D1E33" w:rsidP="009E2C0E">
            <w:pPr>
              <w:pStyle w:val="TableSideHeading"/>
            </w:pPr>
          </w:p>
        </w:tc>
        <w:tc>
          <w:tcPr>
            <w:tcW w:w="624" w:type="dxa"/>
            <w:tcBorders>
              <w:top w:val="nil"/>
              <w:left w:val="nil"/>
              <w:bottom w:val="nil"/>
              <w:right w:val="nil"/>
            </w:tcBorders>
          </w:tcPr>
          <w:p w14:paraId="10B0620A" w14:textId="77777777" w:rsidR="007D1E33" w:rsidRPr="00A759A9" w:rsidRDefault="007D1E33" w:rsidP="009E2C0E">
            <w:pPr>
              <w:pStyle w:val="TableText"/>
            </w:pPr>
          </w:p>
        </w:tc>
        <w:tc>
          <w:tcPr>
            <w:tcW w:w="7143" w:type="dxa"/>
            <w:gridSpan w:val="5"/>
            <w:tcBorders>
              <w:top w:val="nil"/>
              <w:left w:val="nil"/>
              <w:bottom w:val="nil"/>
              <w:right w:val="nil"/>
            </w:tcBorders>
          </w:tcPr>
          <w:p w14:paraId="59ADDB32" w14:textId="77777777" w:rsidR="007D1E33" w:rsidRPr="00A759A9" w:rsidRDefault="007D1E33" w:rsidP="009E2C0E">
            <w:pPr>
              <w:pStyle w:val="TableBlock"/>
            </w:pPr>
            <w:r w:rsidRPr="00A759A9">
              <w:rPr>
                <w:sz w:val="26"/>
                <w:rtl/>
              </w:rPr>
              <w:t>(2)</w:t>
            </w:r>
            <w:r w:rsidRPr="00A759A9">
              <w:rPr>
                <w:sz w:val="26"/>
                <w:rtl/>
              </w:rPr>
              <w:tab/>
              <w:t>בסעיף קטן (ד), אחרי "במועד מאוחר יותר" יבוא "אשר לא יארך מ-60 ימים מן המועד האחרון המותר להחלטת הרשות בבקשה לפי סעיפים קטנים (ב) עד (ג) לעיל";</w:t>
            </w:r>
          </w:p>
        </w:tc>
      </w:tr>
      <w:tr w:rsidR="007D1E33" w14:paraId="244AF43B" w14:textId="77777777" w:rsidTr="007D1E33">
        <w:tblPrEx>
          <w:tblLook w:val="0000" w:firstRow="0" w:lastRow="0" w:firstColumn="0" w:lastColumn="0" w:noHBand="0" w:noVBand="0"/>
        </w:tblPrEx>
        <w:trPr>
          <w:cantSplit/>
        </w:trPr>
        <w:tc>
          <w:tcPr>
            <w:tcW w:w="1870" w:type="dxa"/>
            <w:tcBorders>
              <w:top w:val="nil"/>
              <w:left w:val="nil"/>
              <w:bottom w:val="nil"/>
              <w:right w:val="nil"/>
            </w:tcBorders>
          </w:tcPr>
          <w:p w14:paraId="1F52074E" w14:textId="77777777" w:rsidR="007D1E33" w:rsidRPr="00A759A9" w:rsidRDefault="007D1E33" w:rsidP="009E2C0E">
            <w:pPr>
              <w:pStyle w:val="TableSideHeading"/>
            </w:pPr>
          </w:p>
        </w:tc>
        <w:tc>
          <w:tcPr>
            <w:tcW w:w="624" w:type="dxa"/>
            <w:tcBorders>
              <w:top w:val="nil"/>
              <w:left w:val="nil"/>
              <w:bottom w:val="nil"/>
              <w:right w:val="nil"/>
            </w:tcBorders>
          </w:tcPr>
          <w:p w14:paraId="28EF0358" w14:textId="77777777" w:rsidR="007D1E33" w:rsidRPr="00A759A9" w:rsidRDefault="007D1E33" w:rsidP="009E2C0E">
            <w:pPr>
              <w:pStyle w:val="TableText"/>
            </w:pPr>
          </w:p>
        </w:tc>
        <w:tc>
          <w:tcPr>
            <w:tcW w:w="7143" w:type="dxa"/>
            <w:gridSpan w:val="5"/>
            <w:tcBorders>
              <w:top w:val="nil"/>
              <w:left w:val="nil"/>
              <w:bottom w:val="nil"/>
              <w:right w:val="nil"/>
            </w:tcBorders>
          </w:tcPr>
          <w:p w14:paraId="74600FCC" w14:textId="77777777" w:rsidR="007D1E33" w:rsidRPr="00A759A9" w:rsidRDefault="007D1E33" w:rsidP="009E2C0E">
            <w:pPr>
              <w:pStyle w:val="TableBlock"/>
            </w:pPr>
            <w:r w:rsidRPr="00A759A9">
              <w:rPr>
                <w:sz w:val="26"/>
                <w:rtl/>
              </w:rPr>
              <w:t>(3)</w:t>
            </w:r>
            <w:r w:rsidRPr="00A759A9">
              <w:rPr>
                <w:sz w:val="26"/>
                <w:rtl/>
              </w:rPr>
              <w:tab/>
              <w:t>בסעיף קטן (ו), במקום הסיפה החל במילים "לפי הוראות חוק" יבוא "לפי הוראות סעיף 17; בהחלטה יצוין אם קיימות חלופות להעמדת מידע זהה או דומה לרשות המבקש ומהן; הודיע המבקש על רצונו לממש איזה מן החלופות – יועמד המידע לרשותו בתוך 15 ימים מן המועד בו מסר את הודעתו לרשות.";</w:t>
            </w:r>
          </w:p>
        </w:tc>
      </w:tr>
      <w:tr w:rsidR="007D1E33" w14:paraId="5EC35515" w14:textId="77777777" w:rsidTr="007D1E33">
        <w:tblPrEx>
          <w:tblLook w:val="0000" w:firstRow="0" w:lastRow="0" w:firstColumn="0" w:lastColumn="0" w:noHBand="0" w:noVBand="0"/>
        </w:tblPrEx>
        <w:trPr>
          <w:cantSplit/>
        </w:trPr>
        <w:tc>
          <w:tcPr>
            <w:tcW w:w="1870" w:type="dxa"/>
            <w:tcBorders>
              <w:top w:val="nil"/>
              <w:left w:val="nil"/>
              <w:bottom w:val="nil"/>
              <w:right w:val="nil"/>
            </w:tcBorders>
          </w:tcPr>
          <w:p w14:paraId="6A883D4B" w14:textId="77777777" w:rsidR="007D1E33" w:rsidRPr="00A759A9" w:rsidRDefault="007D1E33" w:rsidP="009E2C0E">
            <w:pPr>
              <w:pStyle w:val="TableSideHeading"/>
            </w:pPr>
          </w:p>
        </w:tc>
        <w:tc>
          <w:tcPr>
            <w:tcW w:w="624" w:type="dxa"/>
            <w:tcBorders>
              <w:top w:val="nil"/>
              <w:left w:val="nil"/>
              <w:bottom w:val="nil"/>
              <w:right w:val="nil"/>
            </w:tcBorders>
          </w:tcPr>
          <w:p w14:paraId="07A4597D" w14:textId="77777777" w:rsidR="007D1E33" w:rsidRPr="00A759A9" w:rsidRDefault="007D1E33" w:rsidP="009E2C0E">
            <w:pPr>
              <w:pStyle w:val="TableText"/>
            </w:pPr>
          </w:p>
        </w:tc>
        <w:tc>
          <w:tcPr>
            <w:tcW w:w="7143" w:type="dxa"/>
            <w:gridSpan w:val="5"/>
            <w:tcBorders>
              <w:top w:val="nil"/>
              <w:left w:val="nil"/>
              <w:bottom w:val="nil"/>
              <w:right w:val="nil"/>
            </w:tcBorders>
          </w:tcPr>
          <w:p w14:paraId="4709D1D3" w14:textId="77777777" w:rsidR="007D1E33" w:rsidRPr="00A759A9" w:rsidRDefault="007D1E33" w:rsidP="009E2C0E">
            <w:pPr>
              <w:pStyle w:val="TableBlock"/>
            </w:pPr>
            <w:r w:rsidRPr="00A759A9">
              <w:rPr>
                <w:sz w:val="26"/>
                <w:rtl/>
              </w:rPr>
              <w:t>(4)</w:t>
            </w:r>
            <w:r w:rsidRPr="00A759A9">
              <w:rPr>
                <w:sz w:val="26"/>
                <w:rtl/>
              </w:rPr>
              <w:tab/>
              <w:t>לאחר סעיף קטן (ו) יבוא:</w:t>
            </w:r>
          </w:p>
        </w:tc>
      </w:tr>
      <w:tr w:rsidR="007D1E33" w14:paraId="20F23625" w14:textId="77777777" w:rsidTr="007D1E33">
        <w:tblPrEx>
          <w:tblLook w:val="0000" w:firstRow="0" w:lastRow="0" w:firstColumn="0" w:lastColumn="0" w:noHBand="0" w:noVBand="0"/>
        </w:tblPrEx>
        <w:trPr>
          <w:cantSplit/>
        </w:trPr>
        <w:tc>
          <w:tcPr>
            <w:tcW w:w="1870" w:type="dxa"/>
            <w:tcBorders>
              <w:top w:val="nil"/>
              <w:left w:val="nil"/>
              <w:bottom w:val="nil"/>
              <w:right w:val="nil"/>
            </w:tcBorders>
          </w:tcPr>
          <w:p w14:paraId="06A3E0C5" w14:textId="77777777" w:rsidR="007D1E33" w:rsidRPr="00A759A9" w:rsidRDefault="007D1E33" w:rsidP="009E2C0E">
            <w:pPr>
              <w:pStyle w:val="TableSideHeading"/>
            </w:pPr>
          </w:p>
        </w:tc>
        <w:tc>
          <w:tcPr>
            <w:tcW w:w="624" w:type="dxa"/>
            <w:tcBorders>
              <w:top w:val="nil"/>
              <w:left w:val="nil"/>
              <w:bottom w:val="nil"/>
              <w:right w:val="nil"/>
            </w:tcBorders>
          </w:tcPr>
          <w:p w14:paraId="57F2ACBF" w14:textId="77777777" w:rsidR="007D1E33" w:rsidRPr="00A759A9" w:rsidRDefault="007D1E33" w:rsidP="009E2C0E">
            <w:pPr>
              <w:pStyle w:val="TableText"/>
            </w:pPr>
          </w:p>
        </w:tc>
        <w:tc>
          <w:tcPr>
            <w:tcW w:w="624" w:type="dxa"/>
            <w:tcBorders>
              <w:top w:val="nil"/>
              <w:left w:val="nil"/>
              <w:bottom w:val="nil"/>
              <w:right w:val="nil"/>
            </w:tcBorders>
          </w:tcPr>
          <w:p w14:paraId="13DA0AA9" w14:textId="77777777" w:rsidR="007D1E33" w:rsidRPr="00A759A9" w:rsidRDefault="007D1E33" w:rsidP="009E2C0E">
            <w:pPr>
              <w:pStyle w:val="TableText"/>
            </w:pPr>
          </w:p>
        </w:tc>
        <w:tc>
          <w:tcPr>
            <w:tcW w:w="6519" w:type="dxa"/>
            <w:gridSpan w:val="4"/>
            <w:tcBorders>
              <w:top w:val="nil"/>
              <w:left w:val="nil"/>
              <w:bottom w:val="nil"/>
              <w:right w:val="nil"/>
            </w:tcBorders>
          </w:tcPr>
          <w:p w14:paraId="2ED79EC2" w14:textId="77777777" w:rsidR="007D1E33" w:rsidRPr="00A759A9" w:rsidRDefault="007D1E33" w:rsidP="009E2C0E">
            <w:pPr>
              <w:pStyle w:val="TableBlock"/>
            </w:pPr>
            <w:r w:rsidRPr="00A759A9">
              <w:rPr>
                <w:sz w:val="26"/>
                <w:rtl/>
              </w:rPr>
              <w:t>"(ז)</w:t>
            </w:r>
            <w:r w:rsidRPr="00A759A9">
              <w:rPr>
                <w:sz w:val="26"/>
                <w:rtl/>
              </w:rPr>
              <w:tab/>
              <w:t>החלטה לדחות בקשה לקבלת מידע תיחתם על ידי ראש הרשות הציבורית באופן אישי."</w:t>
            </w:r>
          </w:p>
        </w:tc>
      </w:tr>
      <w:tr w:rsidR="007D1E33" w14:paraId="53ABC715" w14:textId="77777777" w:rsidTr="007D1E33">
        <w:tblPrEx>
          <w:tblLook w:val="0000" w:firstRow="0" w:lastRow="0" w:firstColumn="0" w:lastColumn="0" w:noHBand="0" w:noVBand="0"/>
        </w:tblPrEx>
        <w:trPr>
          <w:cantSplit/>
        </w:trPr>
        <w:tc>
          <w:tcPr>
            <w:tcW w:w="1870" w:type="dxa"/>
            <w:tcBorders>
              <w:top w:val="nil"/>
              <w:left w:val="nil"/>
              <w:bottom w:val="nil"/>
              <w:right w:val="nil"/>
            </w:tcBorders>
          </w:tcPr>
          <w:p w14:paraId="0713EFBA" w14:textId="77777777" w:rsidR="007D1E33" w:rsidRPr="00A759A9" w:rsidRDefault="007D1E33" w:rsidP="009E2C0E">
            <w:pPr>
              <w:pStyle w:val="TableSideHeading"/>
            </w:pPr>
            <w:r w:rsidRPr="00A759A9">
              <w:rPr>
                <w:sz w:val="26"/>
                <w:rtl/>
              </w:rPr>
              <w:t>תיקון סעיף 8</w:t>
            </w:r>
          </w:p>
        </w:tc>
        <w:tc>
          <w:tcPr>
            <w:tcW w:w="624" w:type="dxa"/>
            <w:tcBorders>
              <w:top w:val="nil"/>
              <w:left w:val="nil"/>
              <w:bottom w:val="nil"/>
              <w:right w:val="nil"/>
            </w:tcBorders>
          </w:tcPr>
          <w:p w14:paraId="22E07496" w14:textId="77777777" w:rsidR="007D1E33" w:rsidRPr="00A759A9" w:rsidRDefault="007D1E33" w:rsidP="009E2C0E">
            <w:pPr>
              <w:pStyle w:val="TableText"/>
            </w:pPr>
            <w:r w:rsidRPr="00A759A9">
              <w:rPr>
                <w:sz w:val="26"/>
                <w:rtl/>
              </w:rPr>
              <w:t>5.</w:t>
            </w:r>
          </w:p>
        </w:tc>
        <w:tc>
          <w:tcPr>
            <w:tcW w:w="7143" w:type="dxa"/>
            <w:gridSpan w:val="5"/>
            <w:tcBorders>
              <w:top w:val="nil"/>
              <w:left w:val="nil"/>
              <w:bottom w:val="nil"/>
              <w:right w:val="nil"/>
            </w:tcBorders>
          </w:tcPr>
          <w:p w14:paraId="17E552F2" w14:textId="77777777" w:rsidR="007D1E33" w:rsidRPr="00A759A9" w:rsidRDefault="007D1E33" w:rsidP="009E2C0E">
            <w:pPr>
              <w:pStyle w:val="TableBlock"/>
            </w:pPr>
            <w:r w:rsidRPr="00A759A9">
              <w:rPr>
                <w:sz w:val="26"/>
                <w:rtl/>
              </w:rPr>
              <w:t xml:space="preserve">בסעיף 8 לחוק העיקרי –  </w:t>
            </w:r>
          </w:p>
        </w:tc>
      </w:tr>
      <w:tr w:rsidR="007D1E33" w14:paraId="409C6B3E" w14:textId="77777777" w:rsidTr="007D1E33">
        <w:tblPrEx>
          <w:tblLook w:val="0000" w:firstRow="0" w:lastRow="0" w:firstColumn="0" w:lastColumn="0" w:noHBand="0" w:noVBand="0"/>
        </w:tblPrEx>
        <w:trPr>
          <w:cantSplit/>
        </w:trPr>
        <w:tc>
          <w:tcPr>
            <w:tcW w:w="1870" w:type="dxa"/>
            <w:tcBorders>
              <w:top w:val="nil"/>
              <w:left w:val="nil"/>
              <w:bottom w:val="nil"/>
              <w:right w:val="nil"/>
            </w:tcBorders>
          </w:tcPr>
          <w:p w14:paraId="0001612D" w14:textId="77777777" w:rsidR="007D1E33" w:rsidRPr="00A759A9" w:rsidRDefault="007D1E33" w:rsidP="009E2C0E">
            <w:pPr>
              <w:pStyle w:val="TableSideHeading"/>
            </w:pPr>
          </w:p>
        </w:tc>
        <w:tc>
          <w:tcPr>
            <w:tcW w:w="624" w:type="dxa"/>
            <w:tcBorders>
              <w:top w:val="nil"/>
              <w:left w:val="nil"/>
              <w:bottom w:val="nil"/>
              <w:right w:val="nil"/>
            </w:tcBorders>
          </w:tcPr>
          <w:p w14:paraId="4FF9A814" w14:textId="77777777" w:rsidR="007D1E33" w:rsidRPr="00A759A9" w:rsidRDefault="007D1E33" w:rsidP="009E2C0E">
            <w:pPr>
              <w:pStyle w:val="TableText"/>
            </w:pPr>
          </w:p>
        </w:tc>
        <w:tc>
          <w:tcPr>
            <w:tcW w:w="7143" w:type="dxa"/>
            <w:gridSpan w:val="5"/>
            <w:tcBorders>
              <w:top w:val="nil"/>
              <w:left w:val="nil"/>
              <w:bottom w:val="nil"/>
              <w:right w:val="nil"/>
            </w:tcBorders>
          </w:tcPr>
          <w:p w14:paraId="37B1F1F7" w14:textId="77777777" w:rsidR="007D1E33" w:rsidRPr="00A759A9" w:rsidRDefault="007D1E33" w:rsidP="009E2C0E">
            <w:pPr>
              <w:pStyle w:val="TableBlock"/>
              <w:rPr>
                <w:sz w:val="26"/>
              </w:rPr>
            </w:pPr>
            <w:r w:rsidRPr="00A759A9">
              <w:rPr>
                <w:sz w:val="26"/>
                <w:rtl/>
              </w:rPr>
              <w:t>(1)</w:t>
            </w:r>
            <w:r w:rsidRPr="00A759A9">
              <w:rPr>
                <w:sz w:val="26"/>
                <w:rtl/>
              </w:rPr>
              <w:tab/>
              <w:t>בפסקה (1), אחרי "בלתי סבירה" יבוא "בהתחשב במידע המבוקש ובהיקפו";</w:t>
            </w:r>
          </w:p>
        </w:tc>
      </w:tr>
      <w:tr w:rsidR="007D1E33" w14:paraId="55CFA037" w14:textId="77777777" w:rsidTr="007D1E33">
        <w:tblPrEx>
          <w:tblLook w:val="0000" w:firstRow="0" w:lastRow="0" w:firstColumn="0" w:lastColumn="0" w:noHBand="0" w:noVBand="0"/>
        </w:tblPrEx>
        <w:trPr>
          <w:cantSplit/>
        </w:trPr>
        <w:tc>
          <w:tcPr>
            <w:tcW w:w="1870" w:type="dxa"/>
            <w:tcBorders>
              <w:top w:val="nil"/>
              <w:left w:val="nil"/>
              <w:bottom w:val="nil"/>
              <w:right w:val="nil"/>
            </w:tcBorders>
          </w:tcPr>
          <w:p w14:paraId="4BCB138C" w14:textId="77777777" w:rsidR="007D1E33" w:rsidRPr="00A759A9" w:rsidRDefault="007D1E33" w:rsidP="009E2C0E">
            <w:pPr>
              <w:pStyle w:val="TableSideHeading"/>
            </w:pPr>
          </w:p>
        </w:tc>
        <w:tc>
          <w:tcPr>
            <w:tcW w:w="624" w:type="dxa"/>
            <w:tcBorders>
              <w:top w:val="nil"/>
              <w:left w:val="nil"/>
              <w:bottom w:val="nil"/>
              <w:right w:val="nil"/>
            </w:tcBorders>
          </w:tcPr>
          <w:p w14:paraId="48B9BC86" w14:textId="77777777" w:rsidR="007D1E33" w:rsidRPr="00A759A9" w:rsidRDefault="007D1E33" w:rsidP="009E2C0E">
            <w:pPr>
              <w:pStyle w:val="TableText"/>
            </w:pPr>
          </w:p>
        </w:tc>
        <w:tc>
          <w:tcPr>
            <w:tcW w:w="7143" w:type="dxa"/>
            <w:gridSpan w:val="5"/>
            <w:tcBorders>
              <w:top w:val="nil"/>
              <w:left w:val="nil"/>
              <w:bottom w:val="nil"/>
              <w:right w:val="nil"/>
            </w:tcBorders>
          </w:tcPr>
          <w:p w14:paraId="18823248" w14:textId="77777777" w:rsidR="007D1E33" w:rsidRPr="00A759A9" w:rsidRDefault="007D1E33" w:rsidP="009E2C0E">
            <w:pPr>
              <w:pStyle w:val="TableBlock"/>
            </w:pPr>
            <w:r w:rsidRPr="00A759A9">
              <w:rPr>
                <w:sz w:val="26"/>
                <w:rtl/>
              </w:rPr>
              <w:t>(2)</w:t>
            </w:r>
            <w:r w:rsidRPr="00A759A9">
              <w:rPr>
                <w:sz w:val="26"/>
                <w:rtl/>
              </w:rPr>
              <w:tab/>
              <w:t>בפסקה (2), אחרי "המידע" יבוא "כולו";</w:t>
            </w:r>
          </w:p>
        </w:tc>
      </w:tr>
      <w:tr w:rsidR="007D1E33" w14:paraId="205B0E6D" w14:textId="77777777" w:rsidTr="007D1E33">
        <w:tblPrEx>
          <w:tblLook w:val="0000" w:firstRow="0" w:lastRow="0" w:firstColumn="0" w:lastColumn="0" w:noHBand="0" w:noVBand="0"/>
        </w:tblPrEx>
        <w:trPr>
          <w:cantSplit/>
        </w:trPr>
        <w:tc>
          <w:tcPr>
            <w:tcW w:w="1870" w:type="dxa"/>
            <w:tcBorders>
              <w:top w:val="nil"/>
              <w:left w:val="nil"/>
              <w:bottom w:val="nil"/>
              <w:right w:val="nil"/>
            </w:tcBorders>
          </w:tcPr>
          <w:p w14:paraId="19423054" w14:textId="77777777" w:rsidR="007D1E33" w:rsidRPr="00A759A9" w:rsidRDefault="007D1E33" w:rsidP="009E2C0E">
            <w:pPr>
              <w:pStyle w:val="TableSideHeading"/>
            </w:pPr>
          </w:p>
        </w:tc>
        <w:tc>
          <w:tcPr>
            <w:tcW w:w="624" w:type="dxa"/>
            <w:tcBorders>
              <w:top w:val="nil"/>
              <w:left w:val="nil"/>
              <w:bottom w:val="nil"/>
              <w:right w:val="nil"/>
            </w:tcBorders>
          </w:tcPr>
          <w:p w14:paraId="1B44D1E5" w14:textId="77777777" w:rsidR="007D1E33" w:rsidRPr="00A759A9" w:rsidRDefault="007D1E33" w:rsidP="009E2C0E">
            <w:pPr>
              <w:pStyle w:val="TableText"/>
            </w:pPr>
          </w:p>
        </w:tc>
        <w:tc>
          <w:tcPr>
            <w:tcW w:w="7143" w:type="dxa"/>
            <w:gridSpan w:val="5"/>
            <w:tcBorders>
              <w:top w:val="nil"/>
              <w:left w:val="nil"/>
              <w:bottom w:val="nil"/>
              <w:right w:val="nil"/>
            </w:tcBorders>
          </w:tcPr>
          <w:p w14:paraId="3A350DB1" w14:textId="77777777" w:rsidR="007D1E33" w:rsidRPr="00A759A9" w:rsidRDefault="007D1E33" w:rsidP="009E2C0E">
            <w:pPr>
              <w:pStyle w:val="TableBlock"/>
            </w:pPr>
            <w:r w:rsidRPr="00A759A9">
              <w:rPr>
                <w:sz w:val="26"/>
                <w:rtl/>
              </w:rPr>
              <w:t>(3)</w:t>
            </w:r>
            <w:r w:rsidRPr="00A759A9">
              <w:rPr>
                <w:sz w:val="26"/>
                <w:rtl/>
              </w:rPr>
              <w:tab/>
              <w:t>בפסקה (5), אחרי "רשות ציבורית אחרת" יבוא "ואינו קיים בידי הרשות הציבורית אליה הוגשה הבקשה."</w:t>
            </w:r>
          </w:p>
        </w:tc>
      </w:tr>
      <w:tr w:rsidR="007D1E33" w14:paraId="14790353" w14:textId="77777777" w:rsidTr="007D1E33">
        <w:tblPrEx>
          <w:tblLook w:val="0000" w:firstRow="0" w:lastRow="0" w:firstColumn="0" w:lastColumn="0" w:noHBand="0" w:noVBand="0"/>
        </w:tblPrEx>
        <w:trPr>
          <w:cantSplit/>
        </w:trPr>
        <w:tc>
          <w:tcPr>
            <w:tcW w:w="1870" w:type="dxa"/>
            <w:tcBorders>
              <w:top w:val="nil"/>
              <w:left w:val="nil"/>
              <w:bottom w:val="nil"/>
              <w:right w:val="nil"/>
            </w:tcBorders>
          </w:tcPr>
          <w:p w14:paraId="60453E3E" w14:textId="77777777" w:rsidR="007D1E33" w:rsidRPr="00A759A9" w:rsidRDefault="007D1E33" w:rsidP="009E2C0E">
            <w:pPr>
              <w:pStyle w:val="TableSideHeading"/>
            </w:pPr>
            <w:r w:rsidRPr="00A759A9">
              <w:rPr>
                <w:sz w:val="26"/>
                <w:rtl/>
              </w:rPr>
              <w:t>תיקון סעיף 9</w:t>
            </w:r>
          </w:p>
        </w:tc>
        <w:tc>
          <w:tcPr>
            <w:tcW w:w="624" w:type="dxa"/>
            <w:tcBorders>
              <w:top w:val="nil"/>
              <w:left w:val="nil"/>
              <w:bottom w:val="nil"/>
              <w:right w:val="nil"/>
            </w:tcBorders>
          </w:tcPr>
          <w:p w14:paraId="5B71B7C6" w14:textId="77777777" w:rsidR="007D1E33" w:rsidRPr="00A759A9" w:rsidRDefault="007D1E33" w:rsidP="009E2C0E">
            <w:pPr>
              <w:pStyle w:val="TableText"/>
            </w:pPr>
            <w:r w:rsidRPr="00A759A9">
              <w:rPr>
                <w:sz w:val="26"/>
                <w:rtl/>
              </w:rPr>
              <w:t>6.</w:t>
            </w:r>
          </w:p>
        </w:tc>
        <w:tc>
          <w:tcPr>
            <w:tcW w:w="7143" w:type="dxa"/>
            <w:gridSpan w:val="5"/>
            <w:tcBorders>
              <w:top w:val="nil"/>
              <w:left w:val="nil"/>
              <w:bottom w:val="nil"/>
              <w:right w:val="nil"/>
            </w:tcBorders>
          </w:tcPr>
          <w:p w14:paraId="34A40C4F" w14:textId="77777777" w:rsidR="007D1E33" w:rsidRPr="00A759A9" w:rsidRDefault="007D1E33" w:rsidP="009E2C0E">
            <w:pPr>
              <w:pStyle w:val="TableBlock"/>
            </w:pPr>
            <w:r w:rsidRPr="00A759A9">
              <w:rPr>
                <w:sz w:val="26"/>
                <w:rtl/>
              </w:rPr>
              <w:t xml:space="preserve">בסעיף 9 לחוק העיקרי –  </w:t>
            </w:r>
          </w:p>
        </w:tc>
      </w:tr>
      <w:tr w:rsidR="007D1E33" w14:paraId="222BA271" w14:textId="77777777" w:rsidTr="007D1E33">
        <w:tblPrEx>
          <w:tblLook w:val="0000" w:firstRow="0" w:lastRow="0" w:firstColumn="0" w:lastColumn="0" w:noHBand="0" w:noVBand="0"/>
        </w:tblPrEx>
        <w:trPr>
          <w:cantSplit/>
        </w:trPr>
        <w:tc>
          <w:tcPr>
            <w:tcW w:w="1870" w:type="dxa"/>
            <w:tcBorders>
              <w:top w:val="nil"/>
              <w:left w:val="nil"/>
              <w:bottom w:val="nil"/>
              <w:right w:val="nil"/>
            </w:tcBorders>
          </w:tcPr>
          <w:p w14:paraId="01814BB7" w14:textId="77777777" w:rsidR="007D1E33" w:rsidRPr="00A759A9" w:rsidRDefault="007D1E33" w:rsidP="009E2C0E">
            <w:pPr>
              <w:pStyle w:val="TableSideHeading"/>
            </w:pPr>
          </w:p>
        </w:tc>
        <w:tc>
          <w:tcPr>
            <w:tcW w:w="624" w:type="dxa"/>
            <w:tcBorders>
              <w:top w:val="nil"/>
              <w:left w:val="nil"/>
              <w:bottom w:val="nil"/>
              <w:right w:val="nil"/>
            </w:tcBorders>
          </w:tcPr>
          <w:p w14:paraId="584266AC" w14:textId="77777777" w:rsidR="007D1E33" w:rsidRPr="00A759A9" w:rsidRDefault="007D1E33" w:rsidP="009E2C0E">
            <w:pPr>
              <w:pStyle w:val="TableText"/>
            </w:pPr>
          </w:p>
        </w:tc>
        <w:tc>
          <w:tcPr>
            <w:tcW w:w="7143" w:type="dxa"/>
            <w:gridSpan w:val="5"/>
            <w:tcBorders>
              <w:top w:val="nil"/>
              <w:left w:val="nil"/>
              <w:bottom w:val="nil"/>
              <w:right w:val="nil"/>
            </w:tcBorders>
          </w:tcPr>
          <w:p w14:paraId="0669C15C" w14:textId="77777777" w:rsidR="007D1E33" w:rsidRPr="00A759A9" w:rsidRDefault="007D1E33" w:rsidP="009E2C0E">
            <w:pPr>
              <w:pStyle w:val="TableBlock"/>
              <w:rPr>
                <w:sz w:val="26"/>
              </w:rPr>
            </w:pPr>
            <w:r w:rsidRPr="00A759A9">
              <w:rPr>
                <w:sz w:val="26"/>
                <w:rtl/>
              </w:rPr>
              <w:t>(1)</w:t>
            </w:r>
            <w:r w:rsidRPr="00A759A9">
              <w:rPr>
                <w:sz w:val="26"/>
                <w:rtl/>
              </w:rPr>
              <w:tab/>
              <w:t>בסעיף קטן (א)(1), אחרי "יש חשש" יבוא "של ממש";</w:t>
            </w:r>
          </w:p>
        </w:tc>
      </w:tr>
      <w:tr w:rsidR="007D1E33" w14:paraId="443B4568" w14:textId="77777777" w:rsidTr="007D1E33">
        <w:tblPrEx>
          <w:tblLook w:val="0000" w:firstRow="0" w:lastRow="0" w:firstColumn="0" w:lastColumn="0" w:noHBand="0" w:noVBand="0"/>
        </w:tblPrEx>
        <w:trPr>
          <w:cantSplit/>
        </w:trPr>
        <w:tc>
          <w:tcPr>
            <w:tcW w:w="1870" w:type="dxa"/>
            <w:tcBorders>
              <w:top w:val="nil"/>
              <w:left w:val="nil"/>
              <w:bottom w:val="nil"/>
              <w:right w:val="nil"/>
            </w:tcBorders>
          </w:tcPr>
          <w:p w14:paraId="7F038F7B" w14:textId="77777777" w:rsidR="007D1E33" w:rsidRPr="00A759A9" w:rsidRDefault="007D1E33" w:rsidP="009E2C0E">
            <w:pPr>
              <w:pStyle w:val="TableSideHeading"/>
            </w:pPr>
          </w:p>
        </w:tc>
        <w:tc>
          <w:tcPr>
            <w:tcW w:w="624" w:type="dxa"/>
            <w:tcBorders>
              <w:top w:val="nil"/>
              <w:left w:val="nil"/>
              <w:bottom w:val="nil"/>
              <w:right w:val="nil"/>
            </w:tcBorders>
          </w:tcPr>
          <w:p w14:paraId="46A457FF" w14:textId="77777777" w:rsidR="007D1E33" w:rsidRPr="00A759A9" w:rsidRDefault="007D1E33" w:rsidP="009E2C0E">
            <w:pPr>
              <w:pStyle w:val="TableText"/>
            </w:pPr>
          </w:p>
        </w:tc>
        <w:tc>
          <w:tcPr>
            <w:tcW w:w="7143" w:type="dxa"/>
            <w:gridSpan w:val="5"/>
            <w:tcBorders>
              <w:top w:val="nil"/>
              <w:left w:val="nil"/>
              <w:bottom w:val="nil"/>
              <w:right w:val="nil"/>
            </w:tcBorders>
          </w:tcPr>
          <w:p w14:paraId="29D0A449" w14:textId="77777777" w:rsidR="007D1E33" w:rsidRPr="00A759A9" w:rsidRDefault="007D1E33" w:rsidP="009E2C0E">
            <w:pPr>
              <w:pStyle w:val="TableBlock"/>
            </w:pPr>
            <w:r w:rsidRPr="00A759A9">
              <w:rPr>
                <w:sz w:val="26"/>
                <w:rtl/>
              </w:rPr>
              <w:t>(2)</w:t>
            </w:r>
            <w:r w:rsidRPr="00A759A9">
              <w:rPr>
                <w:sz w:val="26"/>
                <w:rtl/>
              </w:rPr>
              <w:tab/>
              <w:t xml:space="preserve">בסעיף קטן (ב) –  </w:t>
            </w:r>
          </w:p>
        </w:tc>
      </w:tr>
      <w:tr w:rsidR="007D1E33" w14:paraId="7323B833" w14:textId="77777777" w:rsidTr="007D1E33">
        <w:tblPrEx>
          <w:tblLook w:val="0000" w:firstRow="0" w:lastRow="0" w:firstColumn="0" w:lastColumn="0" w:noHBand="0" w:noVBand="0"/>
        </w:tblPrEx>
        <w:trPr>
          <w:cantSplit/>
        </w:trPr>
        <w:tc>
          <w:tcPr>
            <w:tcW w:w="1870" w:type="dxa"/>
            <w:tcBorders>
              <w:top w:val="nil"/>
              <w:left w:val="nil"/>
              <w:bottom w:val="nil"/>
              <w:right w:val="nil"/>
            </w:tcBorders>
          </w:tcPr>
          <w:p w14:paraId="30E28C29" w14:textId="77777777" w:rsidR="007D1E33" w:rsidRPr="00A759A9" w:rsidRDefault="007D1E33" w:rsidP="009E2C0E">
            <w:pPr>
              <w:pStyle w:val="TableSideHeading"/>
            </w:pPr>
          </w:p>
        </w:tc>
        <w:tc>
          <w:tcPr>
            <w:tcW w:w="624" w:type="dxa"/>
            <w:tcBorders>
              <w:top w:val="nil"/>
              <w:left w:val="nil"/>
              <w:bottom w:val="nil"/>
              <w:right w:val="nil"/>
            </w:tcBorders>
          </w:tcPr>
          <w:p w14:paraId="7E27D184" w14:textId="77777777" w:rsidR="007D1E33" w:rsidRPr="00A759A9" w:rsidRDefault="007D1E33" w:rsidP="009E2C0E">
            <w:pPr>
              <w:pStyle w:val="TableText"/>
            </w:pPr>
          </w:p>
        </w:tc>
        <w:tc>
          <w:tcPr>
            <w:tcW w:w="624" w:type="dxa"/>
            <w:tcBorders>
              <w:top w:val="nil"/>
              <w:left w:val="nil"/>
              <w:bottom w:val="nil"/>
              <w:right w:val="nil"/>
            </w:tcBorders>
          </w:tcPr>
          <w:p w14:paraId="589D9FE0" w14:textId="77777777" w:rsidR="007D1E33" w:rsidRPr="00A759A9" w:rsidRDefault="007D1E33" w:rsidP="009E2C0E">
            <w:pPr>
              <w:pStyle w:val="TableText"/>
              <w:ind w:right="0"/>
              <w:jc w:val="both"/>
            </w:pPr>
          </w:p>
        </w:tc>
        <w:tc>
          <w:tcPr>
            <w:tcW w:w="6519" w:type="dxa"/>
            <w:gridSpan w:val="4"/>
            <w:tcBorders>
              <w:top w:val="nil"/>
              <w:left w:val="nil"/>
              <w:bottom w:val="nil"/>
              <w:right w:val="nil"/>
            </w:tcBorders>
          </w:tcPr>
          <w:p w14:paraId="320B3602" w14:textId="77777777" w:rsidR="007D1E33" w:rsidRPr="00A759A9" w:rsidRDefault="007D1E33" w:rsidP="009E2C0E">
            <w:pPr>
              <w:pStyle w:val="TableBlock"/>
              <w:rPr>
                <w:sz w:val="26"/>
              </w:rPr>
            </w:pPr>
            <w:r w:rsidRPr="00A759A9">
              <w:rPr>
                <w:sz w:val="26"/>
                <w:rtl/>
              </w:rPr>
              <w:t>(1)</w:t>
            </w:r>
            <w:r w:rsidRPr="00A759A9">
              <w:rPr>
                <w:sz w:val="26"/>
                <w:rtl/>
              </w:rPr>
              <w:tab/>
              <w:t>בפסקה (1), אחרי "עלול לשבש" יבוא "באופן משמעותי";</w:t>
            </w:r>
          </w:p>
        </w:tc>
      </w:tr>
      <w:tr w:rsidR="007D1E33" w14:paraId="7EC49BE1" w14:textId="77777777" w:rsidTr="007D1E33">
        <w:tblPrEx>
          <w:tblLook w:val="0000" w:firstRow="0" w:lastRow="0" w:firstColumn="0" w:lastColumn="0" w:noHBand="0" w:noVBand="0"/>
        </w:tblPrEx>
        <w:trPr>
          <w:cantSplit/>
        </w:trPr>
        <w:tc>
          <w:tcPr>
            <w:tcW w:w="1870" w:type="dxa"/>
            <w:tcBorders>
              <w:top w:val="nil"/>
              <w:left w:val="nil"/>
              <w:bottom w:val="nil"/>
              <w:right w:val="nil"/>
            </w:tcBorders>
          </w:tcPr>
          <w:p w14:paraId="3C5E75B0" w14:textId="77777777" w:rsidR="007D1E33" w:rsidRPr="00A759A9" w:rsidRDefault="007D1E33" w:rsidP="009E2C0E">
            <w:pPr>
              <w:pStyle w:val="TableSideHeading"/>
            </w:pPr>
          </w:p>
        </w:tc>
        <w:tc>
          <w:tcPr>
            <w:tcW w:w="624" w:type="dxa"/>
            <w:tcBorders>
              <w:top w:val="nil"/>
              <w:left w:val="nil"/>
              <w:bottom w:val="nil"/>
              <w:right w:val="nil"/>
            </w:tcBorders>
          </w:tcPr>
          <w:p w14:paraId="0ED5AFD7" w14:textId="77777777" w:rsidR="007D1E33" w:rsidRPr="00A759A9" w:rsidRDefault="007D1E33" w:rsidP="009E2C0E">
            <w:pPr>
              <w:pStyle w:val="TableText"/>
            </w:pPr>
          </w:p>
        </w:tc>
        <w:tc>
          <w:tcPr>
            <w:tcW w:w="624" w:type="dxa"/>
            <w:tcBorders>
              <w:top w:val="nil"/>
              <w:left w:val="nil"/>
              <w:bottom w:val="nil"/>
              <w:right w:val="nil"/>
            </w:tcBorders>
          </w:tcPr>
          <w:p w14:paraId="36C788D9" w14:textId="77777777" w:rsidR="007D1E33" w:rsidRPr="00A759A9" w:rsidRDefault="007D1E33" w:rsidP="009E2C0E">
            <w:pPr>
              <w:pStyle w:val="TableText"/>
              <w:ind w:right="0"/>
              <w:jc w:val="both"/>
            </w:pPr>
          </w:p>
        </w:tc>
        <w:tc>
          <w:tcPr>
            <w:tcW w:w="6519" w:type="dxa"/>
            <w:gridSpan w:val="4"/>
            <w:tcBorders>
              <w:top w:val="nil"/>
              <w:left w:val="nil"/>
              <w:bottom w:val="nil"/>
              <w:right w:val="nil"/>
            </w:tcBorders>
          </w:tcPr>
          <w:p w14:paraId="1FD9BA16" w14:textId="77777777" w:rsidR="007D1E33" w:rsidRPr="00A759A9" w:rsidRDefault="007D1E33" w:rsidP="009E2C0E">
            <w:pPr>
              <w:pStyle w:val="TableBlock"/>
            </w:pPr>
            <w:r w:rsidRPr="00A759A9">
              <w:rPr>
                <w:sz w:val="26"/>
                <w:rtl/>
              </w:rPr>
              <w:t>(2)</w:t>
            </w:r>
            <w:r w:rsidRPr="00A759A9">
              <w:rPr>
                <w:sz w:val="26"/>
                <w:rtl/>
              </w:rPr>
              <w:tab/>
              <w:t>בפסקה (2), בסופה יבוא "אם טרם גובשה באותו נושא כל מדיניות בעבר";</w:t>
            </w:r>
          </w:p>
        </w:tc>
      </w:tr>
      <w:tr w:rsidR="007D1E33" w14:paraId="3E8D654C" w14:textId="77777777" w:rsidTr="007D1E33">
        <w:tblPrEx>
          <w:tblLook w:val="0000" w:firstRow="0" w:lastRow="0" w:firstColumn="0" w:lastColumn="0" w:noHBand="0" w:noVBand="0"/>
        </w:tblPrEx>
        <w:trPr>
          <w:cantSplit/>
        </w:trPr>
        <w:tc>
          <w:tcPr>
            <w:tcW w:w="1870" w:type="dxa"/>
            <w:tcBorders>
              <w:top w:val="nil"/>
              <w:left w:val="nil"/>
              <w:bottom w:val="nil"/>
              <w:right w:val="nil"/>
            </w:tcBorders>
          </w:tcPr>
          <w:p w14:paraId="579D084A" w14:textId="77777777" w:rsidR="007D1E33" w:rsidRPr="00A759A9" w:rsidRDefault="007D1E33" w:rsidP="009E2C0E">
            <w:pPr>
              <w:pStyle w:val="TableSideHeading"/>
            </w:pPr>
          </w:p>
        </w:tc>
        <w:tc>
          <w:tcPr>
            <w:tcW w:w="624" w:type="dxa"/>
            <w:tcBorders>
              <w:top w:val="nil"/>
              <w:left w:val="nil"/>
              <w:bottom w:val="nil"/>
              <w:right w:val="nil"/>
            </w:tcBorders>
          </w:tcPr>
          <w:p w14:paraId="3E53DAF8" w14:textId="77777777" w:rsidR="007D1E33" w:rsidRPr="00A759A9" w:rsidRDefault="007D1E33" w:rsidP="009E2C0E">
            <w:pPr>
              <w:pStyle w:val="TableText"/>
            </w:pPr>
          </w:p>
        </w:tc>
        <w:tc>
          <w:tcPr>
            <w:tcW w:w="624" w:type="dxa"/>
            <w:tcBorders>
              <w:top w:val="nil"/>
              <w:left w:val="nil"/>
              <w:bottom w:val="nil"/>
              <w:right w:val="nil"/>
            </w:tcBorders>
          </w:tcPr>
          <w:p w14:paraId="32043F00" w14:textId="77777777" w:rsidR="007D1E33" w:rsidRPr="00A759A9" w:rsidRDefault="007D1E33" w:rsidP="009E2C0E">
            <w:pPr>
              <w:pStyle w:val="TableText"/>
              <w:ind w:right="0"/>
              <w:jc w:val="both"/>
            </w:pPr>
          </w:p>
        </w:tc>
        <w:tc>
          <w:tcPr>
            <w:tcW w:w="6519" w:type="dxa"/>
            <w:gridSpan w:val="4"/>
            <w:tcBorders>
              <w:top w:val="nil"/>
              <w:left w:val="nil"/>
              <w:bottom w:val="nil"/>
              <w:right w:val="nil"/>
            </w:tcBorders>
          </w:tcPr>
          <w:p w14:paraId="67F1B3D8" w14:textId="77777777" w:rsidR="007D1E33" w:rsidRPr="00A759A9" w:rsidRDefault="007D1E33" w:rsidP="009E2C0E">
            <w:pPr>
              <w:pStyle w:val="TableBlock"/>
            </w:pPr>
            <w:r w:rsidRPr="00A759A9">
              <w:rPr>
                <w:sz w:val="26"/>
                <w:rtl/>
              </w:rPr>
              <w:t>(3)</w:t>
            </w:r>
            <w:r w:rsidRPr="00A759A9">
              <w:rPr>
                <w:sz w:val="26"/>
                <w:rtl/>
              </w:rPr>
              <w:tab/>
              <w:t>בפסקה (3), אחרי "פרטי משא ומתן" יבוא "אשר טרם הושלם", ואחרי "אדם שמחוץ לרשויות" יבוא "ואולם אין באמור עילה לאי מסירת המידע על עצם קיומו של משא ומתן, להבדיל מפרטיו";</w:t>
            </w:r>
          </w:p>
        </w:tc>
      </w:tr>
      <w:tr w:rsidR="007D1E33" w14:paraId="79D616B4" w14:textId="77777777" w:rsidTr="007D1E33">
        <w:tblPrEx>
          <w:tblLook w:val="0000" w:firstRow="0" w:lastRow="0" w:firstColumn="0" w:lastColumn="0" w:noHBand="0" w:noVBand="0"/>
        </w:tblPrEx>
        <w:trPr>
          <w:cantSplit/>
        </w:trPr>
        <w:tc>
          <w:tcPr>
            <w:tcW w:w="1870" w:type="dxa"/>
            <w:tcBorders>
              <w:top w:val="nil"/>
              <w:left w:val="nil"/>
              <w:bottom w:val="nil"/>
              <w:right w:val="nil"/>
            </w:tcBorders>
          </w:tcPr>
          <w:p w14:paraId="5173E9CD" w14:textId="77777777" w:rsidR="007D1E33" w:rsidRPr="00A759A9" w:rsidRDefault="007D1E33" w:rsidP="009E2C0E">
            <w:pPr>
              <w:pStyle w:val="TableSideHeading"/>
            </w:pPr>
          </w:p>
        </w:tc>
        <w:tc>
          <w:tcPr>
            <w:tcW w:w="624" w:type="dxa"/>
            <w:tcBorders>
              <w:top w:val="nil"/>
              <w:left w:val="nil"/>
              <w:bottom w:val="nil"/>
              <w:right w:val="nil"/>
            </w:tcBorders>
          </w:tcPr>
          <w:p w14:paraId="66DD4B77" w14:textId="77777777" w:rsidR="007D1E33" w:rsidRPr="00A759A9" w:rsidRDefault="007D1E33" w:rsidP="009E2C0E">
            <w:pPr>
              <w:pStyle w:val="TableText"/>
            </w:pPr>
          </w:p>
        </w:tc>
        <w:tc>
          <w:tcPr>
            <w:tcW w:w="624" w:type="dxa"/>
            <w:tcBorders>
              <w:top w:val="nil"/>
              <w:left w:val="nil"/>
              <w:bottom w:val="nil"/>
              <w:right w:val="nil"/>
            </w:tcBorders>
          </w:tcPr>
          <w:p w14:paraId="52A506F2" w14:textId="77777777" w:rsidR="007D1E33" w:rsidRPr="00A759A9" w:rsidRDefault="007D1E33" w:rsidP="009E2C0E">
            <w:pPr>
              <w:pStyle w:val="TableText"/>
              <w:ind w:right="0"/>
              <w:jc w:val="both"/>
            </w:pPr>
          </w:p>
        </w:tc>
        <w:tc>
          <w:tcPr>
            <w:tcW w:w="6519" w:type="dxa"/>
            <w:gridSpan w:val="4"/>
            <w:tcBorders>
              <w:top w:val="nil"/>
              <w:left w:val="nil"/>
              <w:bottom w:val="nil"/>
              <w:right w:val="nil"/>
            </w:tcBorders>
          </w:tcPr>
          <w:p w14:paraId="20084F47" w14:textId="77777777" w:rsidR="007D1E33" w:rsidRPr="00A759A9" w:rsidRDefault="007D1E33" w:rsidP="009E2C0E">
            <w:pPr>
              <w:pStyle w:val="TableBlock"/>
            </w:pPr>
            <w:r w:rsidRPr="00A759A9">
              <w:rPr>
                <w:sz w:val="26"/>
                <w:rtl/>
              </w:rPr>
              <w:t>(4)</w:t>
            </w:r>
            <w:r w:rsidRPr="00A759A9">
              <w:rPr>
                <w:sz w:val="26"/>
                <w:rtl/>
              </w:rPr>
              <w:tab/>
              <w:t>בפסקה (4), אחרי "התייעצויות פנימיות" יבוא "או פרטי דיונים פנימיים";</w:t>
            </w:r>
          </w:p>
        </w:tc>
      </w:tr>
      <w:tr w:rsidR="007D1E33" w14:paraId="4A43855A" w14:textId="77777777" w:rsidTr="007D1E33">
        <w:tblPrEx>
          <w:tblLook w:val="0000" w:firstRow="0" w:lastRow="0" w:firstColumn="0" w:lastColumn="0" w:noHBand="0" w:noVBand="0"/>
        </w:tblPrEx>
        <w:trPr>
          <w:cantSplit/>
        </w:trPr>
        <w:tc>
          <w:tcPr>
            <w:tcW w:w="1870" w:type="dxa"/>
            <w:tcBorders>
              <w:top w:val="nil"/>
              <w:left w:val="nil"/>
              <w:bottom w:val="nil"/>
              <w:right w:val="nil"/>
            </w:tcBorders>
          </w:tcPr>
          <w:p w14:paraId="2531F546" w14:textId="77777777" w:rsidR="007D1E33" w:rsidRPr="00A759A9" w:rsidRDefault="007D1E33" w:rsidP="009E2C0E">
            <w:pPr>
              <w:pStyle w:val="TableSideHeading"/>
            </w:pPr>
          </w:p>
        </w:tc>
        <w:tc>
          <w:tcPr>
            <w:tcW w:w="624" w:type="dxa"/>
            <w:tcBorders>
              <w:top w:val="nil"/>
              <w:left w:val="nil"/>
              <w:bottom w:val="nil"/>
              <w:right w:val="nil"/>
            </w:tcBorders>
          </w:tcPr>
          <w:p w14:paraId="089B37E7" w14:textId="77777777" w:rsidR="007D1E33" w:rsidRPr="00A759A9" w:rsidRDefault="007D1E33" w:rsidP="009E2C0E">
            <w:pPr>
              <w:pStyle w:val="TableText"/>
            </w:pPr>
          </w:p>
        </w:tc>
        <w:tc>
          <w:tcPr>
            <w:tcW w:w="624" w:type="dxa"/>
            <w:tcBorders>
              <w:top w:val="nil"/>
              <w:left w:val="nil"/>
              <w:bottom w:val="nil"/>
              <w:right w:val="nil"/>
            </w:tcBorders>
          </w:tcPr>
          <w:p w14:paraId="45BC589B" w14:textId="77777777" w:rsidR="007D1E33" w:rsidRPr="00A759A9" w:rsidRDefault="007D1E33" w:rsidP="009E2C0E">
            <w:pPr>
              <w:pStyle w:val="TableText"/>
              <w:ind w:right="0"/>
              <w:jc w:val="both"/>
            </w:pPr>
          </w:p>
        </w:tc>
        <w:tc>
          <w:tcPr>
            <w:tcW w:w="6519" w:type="dxa"/>
            <w:gridSpan w:val="4"/>
            <w:tcBorders>
              <w:top w:val="nil"/>
              <w:left w:val="nil"/>
              <w:bottom w:val="nil"/>
              <w:right w:val="nil"/>
            </w:tcBorders>
          </w:tcPr>
          <w:p w14:paraId="65A01B48" w14:textId="77777777" w:rsidR="007D1E33" w:rsidRPr="00A759A9" w:rsidRDefault="007D1E33" w:rsidP="009E2C0E">
            <w:pPr>
              <w:pStyle w:val="TableBlock"/>
            </w:pPr>
            <w:r w:rsidRPr="00A759A9">
              <w:rPr>
                <w:sz w:val="26"/>
                <w:rtl/>
              </w:rPr>
              <w:t>(5)</w:t>
            </w:r>
            <w:r w:rsidRPr="00A759A9">
              <w:rPr>
                <w:sz w:val="26"/>
                <w:rtl/>
              </w:rPr>
              <w:tab/>
              <w:t>בפסקה (5), אחרי "שאין לו" יבוא "כל".</w:t>
            </w:r>
          </w:p>
        </w:tc>
      </w:tr>
      <w:tr w:rsidR="007D1E33" w14:paraId="03F7E74A" w14:textId="77777777" w:rsidTr="007D1E33">
        <w:tblPrEx>
          <w:tblLook w:val="0000" w:firstRow="0" w:lastRow="0" w:firstColumn="0" w:lastColumn="0" w:noHBand="0" w:noVBand="0"/>
        </w:tblPrEx>
        <w:trPr>
          <w:cantSplit/>
        </w:trPr>
        <w:tc>
          <w:tcPr>
            <w:tcW w:w="1870" w:type="dxa"/>
            <w:tcBorders>
              <w:top w:val="nil"/>
              <w:left w:val="nil"/>
              <w:bottom w:val="nil"/>
              <w:right w:val="nil"/>
            </w:tcBorders>
          </w:tcPr>
          <w:p w14:paraId="1B5FB2A0" w14:textId="77777777" w:rsidR="007D1E33" w:rsidRPr="00A759A9" w:rsidRDefault="007D1E33" w:rsidP="009E2C0E">
            <w:pPr>
              <w:pStyle w:val="TableSideHeading"/>
            </w:pPr>
            <w:r w:rsidRPr="00A759A9">
              <w:rPr>
                <w:sz w:val="26"/>
                <w:rtl/>
              </w:rPr>
              <w:t>תיקון סעיף 10</w:t>
            </w:r>
          </w:p>
        </w:tc>
        <w:tc>
          <w:tcPr>
            <w:tcW w:w="624" w:type="dxa"/>
            <w:tcBorders>
              <w:top w:val="nil"/>
              <w:left w:val="nil"/>
              <w:bottom w:val="nil"/>
              <w:right w:val="nil"/>
            </w:tcBorders>
          </w:tcPr>
          <w:p w14:paraId="4154714D" w14:textId="77777777" w:rsidR="007D1E33" w:rsidRPr="00A759A9" w:rsidRDefault="007D1E33" w:rsidP="009E2C0E">
            <w:pPr>
              <w:pStyle w:val="TableText"/>
            </w:pPr>
            <w:r w:rsidRPr="00A759A9">
              <w:rPr>
                <w:sz w:val="26"/>
                <w:rtl/>
              </w:rPr>
              <w:t>7.</w:t>
            </w:r>
          </w:p>
        </w:tc>
        <w:tc>
          <w:tcPr>
            <w:tcW w:w="7143" w:type="dxa"/>
            <w:gridSpan w:val="5"/>
            <w:tcBorders>
              <w:top w:val="nil"/>
              <w:left w:val="nil"/>
              <w:bottom w:val="nil"/>
              <w:right w:val="nil"/>
            </w:tcBorders>
          </w:tcPr>
          <w:p w14:paraId="5F8B7442" w14:textId="77777777" w:rsidR="007D1E33" w:rsidRPr="00A759A9" w:rsidRDefault="007D1E33" w:rsidP="009E2C0E">
            <w:pPr>
              <w:pStyle w:val="TableBlock"/>
            </w:pPr>
            <w:r w:rsidRPr="00A759A9">
              <w:rPr>
                <w:sz w:val="26"/>
                <w:rtl/>
              </w:rPr>
              <w:t>בסעיף 10 לחוק העיקרי, אחרי "שבגילוי המידע" יבוא "לרבות".</w:t>
            </w:r>
          </w:p>
        </w:tc>
      </w:tr>
      <w:tr w:rsidR="007D1E33" w14:paraId="380C2B57" w14:textId="77777777" w:rsidTr="007D1E33">
        <w:tblPrEx>
          <w:tblLook w:val="0000" w:firstRow="0" w:lastRow="0" w:firstColumn="0" w:lastColumn="0" w:noHBand="0" w:noVBand="0"/>
        </w:tblPrEx>
        <w:trPr>
          <w:cantSplit/>
        </w:trPr>
        <w:tc>
          <w:tcPr>
            <w:tcW w:w="1870" w:type="dxa"/>
            <w:tcBorders>
              <w:top w:val="nil"/>
              <w:left w:val="nil"/>
              <w:bottom w:val="nil"/>
              <w:right w:val="nil"/>
            </w:tcBorders>
          </w:tcPr>
          <w:p w14:paraId="5870B728" w14:textId="77777777" w:rsidR="007D1E33" w:rsidRPr="00A759A9" w:rsidRDefault="007D1E33" w:rsidP="009E2C0E">
            <w:pPr>
              <w:pStyle w:val="TableSideHeading"/>
            </w:pPr>
            <w:r w:rsidRPr="00A759A9">
              <w:rPr>
                <w:sz w:val="26"/>
                <w:rtl/>
              </w:rPr>
              <w:t>תיקון סעיף 11</w:t>
            </w:r>
          </w:p>
        </w:tc>
        <w:tc>
          <w:tcPr>
            <w:tcW w:w="624" w:type="dxa"/>
            <w:tcBorders>
              <w:top w:val="nil"/>
              <w:left w:val="nil"/>
              <w:bottom w:val="nil"/>
              <w:right w:val="nil"/>
            </w:tcBorders>
          </w:tcPr>
          <w:p w14:paraId="772F58FD" w14:textId="77777777" w:rsidR="007D1E33" w:rsidRPr="00A759A9" w:rsidRDefault="007D1E33" w:rsidP="009E2C0E">
            <w:pPr>
              <w:pStyle w:val="TableText"/>
            </w:pPr>
            <w:r w:rsidRPr="00A759A9">
              <w:rPr>
                <w:sz w:val="26"/>
                <w:rtl/>
              </w:rPr>
              <w:t>8.</w:t>
            </w:r>
          </w:p>
        </w:tc>
        <w:tc>
          <w:tcPr>
            <w:tcW w:w="7143" w:type="dxa"/>
            <w:gridSpan w:val="5"/>
            <w:tcBorders>
              <w:top w:val="nil"/>
              <w:left w:val="nil"/>
              <w:bottom w:val="nil"/>
              <w:right w:val="nil"/>
            </w:tcBorders>
          </w:tcPr>
          <w:p w14:paraId="6E75CB7B" w14:textId="77777777" w:rsidR="007D1E33" w:rsidRPr="00A759A9" w:rsidRDefault="007D1E33" w:rsidP="009E2C0E">
            <w:pPr>
              <w:pStyle w:val="TableBlock"/>
            </w:pPr>
            <w:r w:rsidRPr="00A759A9">
              <w:rPr>
                <w:sz w:val="26"/>
                <w:rtl/>
              </w:rPr>
              <w:t>בסעיף 11 לחוק העיקרי, אחרי "וניתן לגלות את המידע" יבוא "כולו או חלקו", ובמקום "נעשו שינויים או השמטות כאמור, תציין זאת הרשות", יבוא "השמטות או שינויים כאמור ייעשו במידה המינימלית האפשרית ויצוינו על ידי הרשות באופן פרטני".</w:t>
            </w:r>
          </w:p>
        </w:tc>
      </w:tr>
      <w:tr w:rsidR="007D1E33" w14:paraId="608BCFAD" w14:textId="77777777" w:rsidTr="007D1E33">
        <w:tblPrEx>
          <w:tblLook w:val="0000" w:firstRow="0" w:lastRow="0" w:firstColumn="0" w:lastColumn="0" w:noHBand="0" w:noVBand="0"/>
        </w:tblPrEx>
        <w:trPr>
          <w:cantSplit/>
        </w:trPr>
        <w:tc>
          <w:tcPr>
            <w:tcW w:w="1870" w:type="dxa"/>
            <w:tcBorders>
              <w:top w:val="nil"/>
              <w:left w:val="nil"/>
              <w:bottom w:val="nil"/>
              <w:right w:val="nil"/>
            </w:tcBorders>
          </w:tcPr>
          <w:p w14:paraId="45E7739C" w14:textId="77777777" w:rsidR="007D1E33" w:rsidRPr="00A759A9" w:rsidRDefault="007D1E33" w:rsidP="009E2C0E">
            <w:pPr>
              <w:pStyle w:val="TableSideHeading"/>
            </w:pPr>
            <w:r w:rsidRPr="00A759A9">
              <w:rPr>
                <w:sz w:val="26"/>
                <w:rtl/>
              </w:rPr>
              <w:t>תיקון סעיף 12</w:t>
            </w:r>
          </w:p>
        </w:tc>
        <w:tc>
          <w:tcPr>
            <w:tcW w:w="624" w:type="dxa"/>
            <w:tcBorders>
              <w:top w:val="nil"/>
              <w:left w:val="nil"/>
              <w:bottom w:val="nil"/>
              <w:right w:val="nil"/>
            </w:tcBorders>
          </w:tcPr>
          <w:p w14:paraId="5B4AFAB1" w14:textId="77777777" w:rsidR="007D1E33" w:rsidRPr="00A759A9" w:rsidRDefault="007D1E33" w:rsidP="009E2C0E">
            <w:pPr>
              <w:pStyle w:val="TableText"/>
            </w:pPr>
            <w:r w:rsidRPr="00A759A9">
              <w:rPr>
                <w:sz w:val="26"/>
                <w:rtl/>
              </w:rPr>
              <w:t>9.</w:t>
            </w:r>
          </w:p>
        </w:tc>
        <w:tc>
          <w:tcPr>
            <w:tcW w:w="7143" w:type="dxa"/>
            <w:gridSpan w:val="5"/>
            <w:tcBorders>
              <w:top w:val="nil"/>
              <w:left w:val="nil"/>
              <w:bottom w:val="nil"/>
              <w:right w:val="nil"/>
            </w:tcBorders>
          </w:tcPr>
          <w:p w14:paraId="66803C07" w14:textId="77777777" w:rsidR="007D1E33" w:rsidRPr="00A759A9" w:rsidRDefault="007D1E33" w:rsidP="009E2C0E">
            <w:pPr>
              <w:pStyle w:val="TableBlock"/>
            </w:pPr>
            <w:r w:rsidRPr="00A759A9">
              <w:rPr>
                <w:sz w:val="26"/>
                <w:rtl/>
              </w:rPr>
              <w:t>בסעיף 12 לחוק העיקרי, אחרי "בדבר זכויותיו" יבוא "או ענייניו".</w:t>
            </w:r>
          </w:p>
        </w:tc>
      </w:tr>
      <w:tr w:rsidR="007D1E33" w14:paraId="740F4FFB" w14:textId="77777777" w:rsidTr="007D1E33">
        <w:tblPrEx>
          <w:tblLook w:val="0000" w:firstRow="0" w:lastRow="0" w:firstColumn="0" w:lastColumn="0" w:noHBand="0" w:noVBand="0"/>
        </w:tblPrEx>
        <w:trPr>
          <w:cantSplit/>
        </w:trPr>
        <w:tc>
          <w:tcPr>
            <w:tcW w:w="1870" w:type="dxa"/>
            <w:tcBorders>
              <w:top w:val="nil"/>
              <w:left w:val="nil"/>
              <w:bottom w:val="nil"/>
              <w:right w:val="nil"/>
            </w:tcBorders>
          </w:tcPr>
          <w:p w14:paraId="6EAB18B4" w14:textId="77777777" w:rsidR="007D1E33" w:rsidRPr="00A759A9" w:rsidRDefault="007D1E33" w:rsidP="009E2C0E">
            <w:pPr>
              <w:pStyle w:val="TableSideHeading"/>
            </w:pPr>
            <w:r w:rsidRPr="00A759A9">
              <w:rPr>
                <w:sz w:val="26"/>
                <w:rtl/>
              </w:rPr>
              <w:t>תיקון סעיף 13</w:t>
            </w:r>
          </w:p>
        </w:tc>
        <w:tc>
          <w:tcPr>
            <w:tcW w:w="624" w:type="dxa"/>
            <w:tcBorders>
              <w:top w:val="nil"/>
              <w:left w:val="nil"/>
              <w:bottom w:val="nil"/>
              <w:right w:val="nil"/>
            </w:tcBorders>
          </w:tcPr>
          <w:p w14:paraId="34DFB112" w14:textId="77777777" w:rsidR="007D1E33" w:rsidRPr="00A759A9" w:rsidRDefault="007D1E33" w:rsidP="009E2C0E">
            <w:pPr>
              <w:pStyle w:val="TableText"/>
            </w:pPr>
            <w:r w:rsidRPr="00A759A9">
              <w:rPr>
                <w:sz w:val="26"/>
                <w:rtl/>
              </w:rPr>
              <w:t>10.</w:t>
            </w:r>
          </w:p>
        </w:tc>
        <w:tc>
          <w:tcPr>
            <w:tcW w:w="7143" w:type="dxa"/>
            <w:gridSpan w:val="5"/>
            <w:tcBorders>
              <w:top w:val="nil"/>
              <w:left w:val="nil"/>
              <w:bottom w:val="nil"/>
              <w:right w:val="nil"/>
            </w:tcBorders>
          </w:tcPr>
          <w:p w14:paraId="0498C6CD" w14:textId="77777777" w:rsidR="007D1E33" w:rsidRPr="00A759A9" w:rsidRDefault="007D1E33" w:rsidP="009E2C0E">
            <w:pPr>
              <w:pStyle w:val="TableBlock"/>
            </w:pPr>
            <w:r w:rsidRPr="00A759A9">
              <w:rPr>
                <w:sz w:val="26"/>
                <w:rtl/>
              </w:rPr>
              <w:t xml:space="preserve">בסעיף 13 לחוק העיקרי –  </w:t>
            </w:r>
          </w:p>
        </w:tc>
      </w:tr>
      <w:tr w:rsidR="007D1E33" w14:paraId="0AA408E7" w14:textId="77777777" w:rsidTr="007D1E33">
        <w:tblPrEx>
          <w:tblLook w:val="0000" w:firstRow="0" w:lastRow="0" w:firstColumn="0" w:lastColumn="0" w:noHBand="0" w:noVBand="0"/>
        </w:tblPrEx>
        <w:trPr>
          <w:cantSplit/>
        </w:trPr>
        <w:tc>
          <w:tcPr>
            <w:tcW w:w="1870" w:type="dxa"/>
            <w:tcBorders>
              <w:top w:val="nil"/>
              <w:left w:val="nil"/>
              <w:bottom w:val="nil"/>
              <w:right w:val="nil"/>
            </w:tcBorders>
          </w:tcPr>
          <w:p w14:paraId="0A7C4227" w14:textId="77777777" w:rsidR="007D1E33" w:rsidRPr="00A759A9" w:rsidRDefault="007D1E33" w:rsidP="009E2C0E">
            <w:pPr>
              <w:pStyle w:val="TableSideHeading"/>
            </w:pPr>
          </w:p>
        </w:tc>
        <w:tc>
          <w:tcPr>
            <w:tcW w:w="624" w:type="dxa"/>
            <w:tcBorders>
              <w:top w:val="nil"/>
              <w:left w:val="nil"/>
              <w:bottom w:val="nil"/>
              <w:right w:val="nil"/>
            </w:tcBorders>
          </w:tcPr>
          <w:p w14:paraId="5C029048" w14:textId="77777777" w:rsidR="007D1E33" w:rsidRPr="00A759A9" w:rsidRDefault="007D1E33" w:rsidP="009E2C0E">
            <w:pPr>
              <w:pStyle w:val="TableText"/>
            </w:pPr>
          </w:p>
        </w:tc>
        <w:tc>
          <w:tcPr>
            <w:tcW w:w="7143" w:type="dxa"/>
            <w:gridSpan w:val="5"/>
            <w:tcBorders>
              <w:top w:val="nil"/>
              <w:left w:val="nil"/>
              <w:bottom w:val="nil"/>
              <w:right w:val="nil"/>
            </w:tcBorders>
          </w:tcPr>
          <w:p w14:paraId="69660A3F" w14:textId="77777777" w:rsidR="007D1E33" w:rsidRPr="00A759A9" w:rsidRDefault="007D1E33" w:rsidP="009E2C0E">
            <w:pPr>
              <w:pStyle w:val="TableBlock"/>
              <w:rPr>
                <w:sz w:val="26"/>
              </w:rPr>
            </w:pPr>
            <w:r w:rsidRPr="00A759A9">
              <w:rPr>
                <w:sz w:val="26"/>
                <w:rtl/>
              </w:rPr>
              <w:t>(1)</w:t>
            </w:r>
            <w:r w:rsidRPr="00A759A9">
              <w:rPr>
                <w:sz w:val="26"/>
                <w:rtl/>
              </w:rPr>
              <w:tab/>
              <w:t>בסעיף קטן (א) אחרי "לצד השלישי, בכתב" יבוא "בתוך 30 יום ממועד הגשת הבקשה," ואחרי "הוראות כל דין" יבוא "שיפרט בהודעתו; לא הודיע כאמור – ייחשב הדבר להסכמה;"</w:t>
            </w:r>
          </w:p>
        </w:tc>
      </w:tr>
      <w:tr w:rsidR="007D1E33" w14:paraId="64E3BB4A" w14:textId="77777777" w:rsidTr="007D1E33">
        <w:tblPrEx>
          <w:tblLook w:val="0000" w:firstRow="0" w:lastRow="0" w:firstColumn="0" w:lastColumn="0" w:noHBand="0" w:noVBand="0"/>
        </w:tblPrEx>
        <w:trPr>
          <w:cantSplit/>
        </w:trPr>
        <w:tc>
          <w:tcPr>
            <w:tcW w:w="1870" w:type="dxa"/>
            <w:tcBorders>
              <w:top w:val="nil"/>
              <w:left w:val="nil"/>
              <w:bottom w:val="nil"/>
              <w:right w:val="nil"/>
            </w:tcBorders>
          </w:tcPr>
          <w:p w14:paraId="51F63C9D" w14:textId="77777777" w:rsidR="007D1E33" w:rsidRPr="00A759A9" w:rsidRDefault="007D1E33" w:rsidP="009E2C0E">
            <w:pPr>
              <w:pStyle w:val="TableSideHeading"/>
            </w:pPr>
          </w:p>
        </w:tc>
        <w:tc>
          <w:tcPr>
            <w:tcW w:w="624" w:type="dxa"/>
            <w:tcBorders>
              <w:top w:val="nil"/>
              <w:left w:val="nil"/>
              <w:bottom w:val="nil"/>
              <w:right w:val="nil"/>
            </w:tcBorders>
          </w:tcPr>
          <w:p w14:paraId="6E8043CD" w14:textId="77777777" w:rsidR="007D1E33" w:rsidRPr="00A759A9" w:rsidRDefault="007D1E33" w:rsidP="009E2C0E">
            <w:pPr>
              <w:pStyle w:val="TableText"/>
            </w:pPr>
          </w:p>
        </w:tc>
        <w:tc>
          <w:tcPr>
            <w:tcW w:w="7143" w:type="dxa"/>
            <w:gridSpan w:val="5"/>
            <w:tcBorders>
              <w:top w:val="nil"/>
              <w:left w:val="nil"/>
              <w:bottom w:val="nil"/>
              <w:right w:val="nil"/>
            </w:tcBorders>
          </w:tcPr>
          <w:p w14:paraId="49B5F779" w14:textId="77777777" w:rsidR="007D1E33" w:rsidRPr="00A759A9" w:rsidRDefault="007D1E33" w:rsidP="009E2C0E">
            <w:pPr>
              <w:pStyle w:val="TableBlock"/>
            </w:pPr>
            <w:r w:rsidRPr="00A759A9">
              <w:rPr>
                <w:sz w:val="26"/>
                <w:rtl/>
              </w:rPr>
              <w:t>(2)</w:t>
            </w:r>
            <w:r w:rsidRPr="00A759A9">
              <w:rPr>
                <w:sz w:val="26"/>
                <w:rtl/>
              </w:rPr>
              <w:tab/>
              <w:t>בסעיף קטן (ג), במקום הסיפה המתחילה במילים "בטרם הוחלט לדחותה לפי העניין", יבוא "בטרם חלפו 30 ימים ממועד המצאת החלטתה לצד השלישי.".</w:t>
            </w:r>
          </w:p>
        </w:tc>
      </w:tr>
      <w:tr w:rsidR="007D1E33" w14:paraId="09FB1963" w14:textId="77777777" w:rsidTr="007D1E33">
        <w:tblPrEx>
          <w:tblLook w:val="0000" w:firstRow="0" w:lastRow="0" w:firstColumn="0" w:lastColumn="0" w:noHBand="0" w:noVBand="0"/>
        </w:tblPrEx>
        <w:trPr>
          <w:cantSplit/>
        </w:trPr>
        <w:tc>
          <w:tcPr>
            <w:tcW w:w="1870" w:type="dxa"/>
            <w:tcBorders>
              <w:top w:val="nil"/>
              <w:left w:val="nil"/>
              <w:bottom w:val="nil"/>
              <w:right w:val="nil"/>
            </w:tcBorders>
          </w:tcPr>
          <w:p w14:paraId="0F94FA06" w14:textId="77777777" w:rsidR="007D1E33" w:rsidRPr="00A759A9" w:rsidRDefault="007D1E33" w:rsidP="009E2C0E">
            <w:pPr>
              <w:pStyle w:val="TableSideHeading"/>
            </w:pPr>
            <w:r w:rsidRPr="00A759A9">
              <w:rPr>
                <w:sz w:val="26"/>
                <w:rtl/>
              </w:rPr>
              <w:t>תיקון סעיף 14</w:t>
            </w:r>
          </w:p>
        </w:tc>
        <w:tc>
          <w:tcPr>
            <w:tcW w:w="624" w:type="dxa"/>
            <w:tcBorders>
              <w:top w:val="nil"/>
              <w:left w:val="nil"/>
              <w:bottom w:val="nil"/>
              <w:right w:val="nil"/>
            </w:tcBorders>
          </w:tcPr>
          <w:p w14:paraId="6148807C" w14:textId="77777777" w:rsidR="007D1E33" w:rsidRPr="00A759A9" w:rsidRDefault="007D1E33" w:rsidP="009E2C0E">
            <w:pPr>
              <w:pStyle w:val="TableText"/>
            </w:pPr>
            <w:r w:rsidRPr="00A759A9">
              <w:rPr>
                <w:sz w:val="26"/>
                <w:rtl/>
              </w:rPr>
              <w:t>11.</w:t>
            </w:r>
          </w:p>
        </w:tc>
        <w:tc>
          <w:tcPr>
            <w:tcW w:w="7143" w:type="dxa"/>
            <w:gridSpan w:val="5"/>
            <w:tcBorders>
              <w:top w:val="nil"/>
              <w:left w:val="nil"/>
              <w:bottom w:val="nil"/>
              <w:right w:val="nil"/>
            </w:tcBorders>
          </w:tcPr>
          <w:p w14:paraId="3575F9C0" w14:textId="77777777" w:rsidR="007D1E33" w:rsidRPr="00A759A9" w:rsidRDefault="007D1E33" w:rsidP="009E2C0E">
            <w:pPr>
              <w:pStyle w:val="TableBlock"/>
            </w:pPr>
            <w:r w:rsidRPr="00A759A9">
              <w:rPr>
                <w:sz w:val="26"/>
                <w:rtl/>
              </w:rPr>
              <w:t xml:space="preserve">בסעיף 14 לחוק העיקרי, בסעיף קטן (א) –  </w:t>
            </w:r>
          </w:p>
        </w:tc>
      </w:tr>
      <w:tr w:rsidR="007D1E33" w14:paraId="7A2EC220" w14:textId="77777777" w:rsidTr="007D1E33">
        <w:tblPrEx>
          <w:tblLook w:val="0000" w:firstRow="0" w:lastRow="0" w:firstColumn="0" w:lastColumn="0" w:noHBand="0" w:noVBand="0"/>
        </w:tblPrEx>
        <w:trPr>
          <w:cantSplit/>
        </w:trPr>
        <w:tc>
          <w:tcPr>
            <w:tcW w:w="1870" w:type="dxa"/>
            <w:tcBorders>
              <w:top w:val="nil"/>
              <w:left w:val="nil"/>
              <w:bottom w:val="nil"/>
              <w:right w:val="nil"/>
            </w:tcBorders>
          </w:tcPr>
          <w:p w14:paraId="0109AE41" w14:textId="77777777" w:rsidR="007D1E33" w:rsidRPr="00A759A9" w:rsidRDefault="007D1E33" w:rsidP="009E2C0E">
            <w:pPr>
              <w:pStyle w:val="TableSideHeading"/>
            </w:pPr>
          </w:p>
        </w:tc>
        <w:tc>
          <w:tcPr>
            <w:tcW w:w="624" w:type="dxa"/>
            <w:tcBorders>
              <w:top w:val="nil"/>
              <w:left w:val="nil"/>
              <w:bottom w:val="nil"/>
              <w:right w:val="nil"/>
            </w:tcBorders>
          </w:tcPr>
          <w:p w14:paraId="6B6EAB6F" w14:textId="77777777" w:rsidR="007D1E33" w:rsidRPr="00A759A9" w:rsidRDefault="007D1E33" w:rsidP="009E2C0E">
            <w:pPr>
              <w:pStyle w:val="TableText"/>
            </w:pPr>
          </w:p>
        </w:tc>
        <w:tc>
          <w:tcPr>
            <w:tcW w:w="7143" w:type="dxa"/>
            <w:gridSpan w:val="5"/>
            <w:tcBorders>
              <w:top w:val="nil"/>
              <w:left w:val="nil"/>
              <w:bottom w:val="nil"/>
              <w:right w:val="nil"/>
            </w:tcBorders>
          </w:tcPr>
          <w:p w14:paraId="0FB3A788" w14:textId="77777777" w:rsidR="007D1E33" w:rsidRPr="00A759A9" w:rsidRDefault="007D1E33" w:rsidP="009E2C0E">
            <w:pPr>
              <w:pStyle w:val="TableBlock"/>
              <w:rPr>
                <w:sz w:val="26"/>
              </w:rPr>
            </w:pPr>
            <w:r w:rsidRPr="00A759A9">
              <w:rPr>
                <w:sz w:val="26"/>
                <w:rtl/>
              </w:rPr>
              <w:t>(1)</w:t>
            </w:r>
            <w:r w:rsidRPr="00A759A9">
              <w:rPr>
                <w:sz w:val="26"/>
                <w:rtl/>
              </w:rPr>
              <w:tab/>
              <w:t>בפסקה (8), אחרי "שנוצר לצרכי חקירה" יבוא "כל עוד לא נסתיים הליך משפטי הנוגע אליו";</w:t>
            </w:r>
          </w:p>
        </w:tc>
      </w:tr>
      <w:tr w:rsidR="007D1E33" w14:paraId="13CF0126" w14:textId="77777777" w:rsidTr="007D1E33">
        <w:tblPrEx>
          <w:tblLook w:val="0000" w:firstRow="0" w:lastRow="0" w:firstColumn="0" w:lastColumn="0" w:noHBand="0" w:noVBand="0"/>
        </w:tblPrEx>
        <w:trPr>
          <w:cantSplit/>
        </w:trPr>
        <w:tc>
          <w:tcPr>
            <w:tcW w:w="1870" w:type="dxa"/>
            <w:tcBorders>
              <w:top w:val="nil"/>
              <w:left w:val="nil"/>
              <w:bottom w:val="nil"/>
              <w:right w:val="nil"/>
            </w:tcBorders>
          </w:tcPr>
          <w:p w14:paraId="6EDA4EE4" w14:textId="77777777" w:rsidR="007D1E33" w:rsidRPr="00A759A9" w:rsidRDefault="007D1E33" w:rsidP="009E2C0E">
            <w:pPr>
              <w:pStyle w:val="TableSideHeading"/>
            </w:pPr>
          </w:p>
        </w:tc>
        <w:tc>
          <w:tcPr>
            <w:tcW w:w="624" w:type="dxa"/>
            <w:tcBorders>
              <w:top w:val="nil"/>
              <w:left w:val="nil"/>
              <w:bottom w:val="nil"/>
              <w:right w:val="nil"/>
            </w:tcBorders>
          </w:tcPr>
          <w:p w14:paraId="4811780A" w14:textId="77777777" w:rsidR="007D1E33" w:rsidRPr="00A759A9" w:rsidRDefault="007D1E33" w:rsidP="009E2C0E">
            <w:pPr>
              <w:pStyle w:val="TableText"/>
            </w:pPr>
          </w:p>
        </w:tc>
        <w:tc>
          <w:tcPr>
            <w:tcW w:w="7143" w:type="dxa"/>
            <w:gridSpan w:val="5"/>
            <w:tcBorders>
              <w:top w:val="nil"/>
              <w:left w:val="nil"/>
              <w:bottom w:val="nil"/>
              <w:right w:val="nil"/>
            </w:tcBorders>
          </w:tcPr>
          <w:p w14:paraId="6136F12C" w14:textId="77777777" w:rsidR="007D1E33" w:rsidRPr="00A759A9" w:rsidRDefault="007D1E33" w:rsidP="009E2C0E">
            <w:pPr>
              <w:pStyle w:val="TableBlock"/>
            </w:pPr>
            <w:r w:rsidRPr="00A759A9">
              <w:rPr>
                <w:sz w:val="26"/>
                <w:rtl/>
              </w:rPr>
              <w:t>(2)</w:t>
            </w:r>
            <w:r w:rsidRPr="00A759A9">
              <w:rPr>
                <w:sz w:val="26"/>
                <w:rtl/>
              </w:rPr>
              <w:tab/>
              <w:t>בפסקה (11), אחרי "לגבי ההליכים בפניה" יבוא "אך מידע כאמור לא יהיה חסוי בפני אותו אדם או שלוחו";</w:t>
            </w:r>
          </w:p>
        </w:tc>
      </w:tr>
      <w:tr w:rsidR="007D1E33" w14:paraId="6E335265" w14:textId="77777777" w:rsidTr="007D1E33">
        <w:tblPrEx>
          <w:tblLook w:val="0000" w:firstRow="0" w:lastRow="0" w:firstColumn="0" w:lastColumn="0" w:noHBand="0" w:noVBand="0"/>
        </w:tblPrEx>
        <w:trPr>
          <w:cantSplit/>
        </w:trPr>
        <w:tc>
          <w:tcPr>
            <w:tcW w:w="1870" w:type="dxa"/>
            <w:tcBorders>
              <w:top w:val="nil"/>
              <w:left w:val="nil"/>
              <w:bottom w:val="nil"/>
              <w:right w:val="nil"/>
            </w:tcBorders>
          </w:tcPr>
          <w:p w14:paraId="076BD252" w14:textId="77777777" w:rsidR="007D1E33" w:rsidRPr="00A759A9" w:rsidRDefault="007D1E33" w:rsidP="009E2C0E">
            <w:pPr>
              <w:pStyle w:val="TableSideHeading"/>
            </w:pPr>
          </w:p>
        </w:tc>
        <w:tc>
          <w:tcPr>
            <w:tcW w:w="624" w:type="dxa"/>
            <w:tcBorders>
              <w:top w:val="nil"/>
              <w:left w:val="nil"/>
              <w:bottom w:val="nil"/>
              <w:right w:val="nil"/>
            </w:tcBorders>
          </w:tcPr>
          <w:p w14:paraId="4E703A27" w14:textId="77777777" w:rsidR="007D1E33" w:rsidRPr="00A759A9" w:rsidRDefault="007D1E33" w:rsidP="009E2C0E">
            <w:pPr>
              <w:pStyle w:val="TableText"/>
            </w:pPr>
          </w:p>
        </w:tc>
        <w:tc>
          <w:tcPr>
            <w:tcW w:w="7143" w:type="dxa"/>
            <w:gridSpan w:val="5"/>
            <w:tcBorders>
              <w:top w:val="nil"/>
              <w:left w:val="nil"/>
              <w:bottom w:val="nil"/>
              <w:right w:val="nil"/>
            </w:tcBorders>
          </w:tcPr>
          <w:p w14:paraId="4273C402" w14:textId="77777777" w:rsidR="007D1E33" w:rsidRPr="00A759A9" w:rsidRDefault="007D1E33" w:rsidP="009E2C0E">
            <w:pPr>
              <w:pStyle w:val="TableBlock"/>
            </w:pPr>
            <w:r w:rsidRPr="00A759A9">
              <w:rPr>
                <w:sz w:val="26"/>
                <w:rtl/>
              </w:rPr>
              <w:t>(3)</w:t>
            </w:r>
            <w:r w:rsidRPr="00A759A9">
              <w:rPr>
                <w:sz w:val="26"/>
                <w:rtl/>
              </w:rPr>
              <w:tab/>
              <w:t>בפסקה (12), בסופה יבוא "אך מידע כאמור לא יהיה חסוי בפני מי שעניינו הוא נושא התלונה, אלא אם קבע זאת הנציב מטעמים מיוחדים שיפרט בהחלטתו".</w:t>
            </w:r>
          </w:p>
        </w:tc>
      </w:tr>
      <w:tr w:rsidR="007D1E33" w14:paraId="101C4CC0" w14:textId="77777777" w:rsidTr="007D1E33">
        <w:tblPrEx>
          <w:tblLook w:val="0000" w:firstRow="0" w:lastRow="0" w:firstColumn="0" w:lastColumn="0" w:noHBand="0" w:noVBand="0"/>
        </w:tblPrEx>
        <w:trPr>
          <w:cantSplit/>
        </w:trPr>
        <w:tc>
          <w:tcPr>
            <w:tcW w:w="1870" w:type="dxa"/>
            <w:tcBorders>
              <w:top w:val="nil"/>
              <w:left w:val="nil"/>
              <w:bottom w:val="nil"/>
              <w:right w:val="nil"/>
            </w:tcBorders>
          </w:tcPr>
          <w:p w14:paraId="41ECEC72" w14:textId="77777777" w:rsidR="007D1E33" w:rsidRPr="00A759A9" w:rsidRDefault="007D1E33" w:rsidP="009E2C0E">
            <w:pPr>
              <w:pStyle w:val="TableSideHeading"/>
            </w:pPr>
            <w:r w:rsidRPr="00A759A9">
              <w:rPr>
                <w:sz w:val="26"/>
                <w:rtl/>
              </w:rPr>
              <w:t>הוספת סעיף 19א</w:t>
            </w:r>
          </w:p>
        </w:tc>
        <w:tc>
          <w:tcPr>
            <w:tcW w:w="624" w:type="dxa"/>
            <w:tcBorders>
              <w:top w:val="nil"/>
              <w:left w:val="nil"/>
              <w:bottom w:val="nil"/>
              <w:right w:val="nil"/>
            </w:tcBorders>
          </w:tcPr>
          <w:p w14:paraId="39379FB7" w14:textId="77777777" w:rsidR="007D1E33" w:rsidRPr="00A759A9" w:rsidRDefault="007D1E33" w:rsidP="009E2C0E">
            <w:pPr>
              <w:pStyle w:val="TableText"/>
            </w:pPr>
            <w:r w:rsidRPr="00A759A9">
              <w:rPr>
                <w:sz w:val="26"/>
                <w:rtl/>
              </w:rPr>
              <w:t>12.</w:t>
            </w:r>
          </w:p>
        </w:tc>
        <w:tc>
          <w:tcPr>
            <w:tcW w:w="7143" w:type="dxa"/>
            <w:gridSpan w:val="5"/>
            <w:tcBorders>
              <w:top w:val="nil"/>
              <w:left w:val="nil"/>
              <w:bottom w:val="nil"/>
              <w:right w:val="nil"/>
            </w:tcBorders>
          </w:tcPr>
          <w:p w14:paraId="25F70234" w14:textId="77777777" w:rsidR="007D1E33" w:rsidRPr="00A759A9" w:rsidRDefault="007D1E33" w:rsidP="009E2C0E">
            <w:pPr>
              <w:pStyle w:val="TableBlock"/>
            </w:pPr>
            <w:r w:rsidRPr="00A759A9">
              <w:rPr>
                <w:sz w:val="26"/>
                <w:rtl/>
              </w:rPr>
              <w:t>בחוק העיקרי, לאחר סעיף 19 יבוא:</w:t>
            </w:r>
          </w:p>
        </w:tc>
      </w:tr>
      <w:tr w:rsidR="007D1E33" w14:paraId="23431371" w14:textId="77777777" w:rsidTr="007D1E33">
        <w:tblPrEx>
          <w:tblLook w:val="0000" w:firstRow="0" w:lastRow="0" w:firstColumn="0" w:lastColumn="0" w:noHBand="0" w:noVBand="0"/>
        </w:tblPrEx>
        <w:trPr>
          <w:cantSplit/>
        </w:trPr>
        <w:tc>
          <w:tcPr>
            <w:tcW w:w="1870" w:type="dxa"/>
            <w:tcBorders>
              <w:top w:val="nil"/>
              <w:left w:val="nil"/>
              <w:bottom w:val="nil"/>
              <w:right w:val="nil"/>
            </w:tcBorders>
          </w:tcPr>
          <w:p w14:paraId="28B91CA5" w14:textId="77777777" w:rsidR="007D1E33" w:rsidRPr="00A759A9" w:rsidRDefault="007D1E33" w:rsidP="009E2C0E">
            <w:pPr>
              <w:pStyle w:val="TableSideHeading"/>
            </w:pPr>
          </w:p>
        </w:tc>
        <w:tc>
          <w:tcPr>
            <w:tcW w:w="624" w:type="dxa"/>
            <w:tcBorders>
              <w:top w:val="nil"/>
              <w:left w:val="nil"/>
              <w:bottom w:val="nil"/>
              <w:right w:val="nil"/>
            </w:tcBorders>
          </w:tcPr>
          <w:p w14:paraId="608CB6F0" w14:textId="77777777" w:rsidR="007D1E33" w:rsidRPr="00A759A9" w:rsidRDefault="007D1E33" w:rsidP="009E2C0E">
            <w:pPr>
              <w:pStyle w:val="TableText"/>
            </w:pPr>
          </w:p>
        </w:tc>
        <w:tc>
          <w:tcPr>
            <w:tcW w:w="1872" w:type="dxa"/>
            <w:gridSpan w:val="3"/>
            <w:tcBorders>
              <w:top w:val="nil"/>
              <w:left w:val="nil"/>
              <w:bottom w:val="nil"/>
              <w:right w:val="nil"/>
            </w:tcBorders>
          </w:tcPr>
          <w:p w14:paraId="1152FC97" w14:textId="77777777" w:rsidR="007D1E33" w:rsidRPr="00A759A9" w:rsidRDefault="007D1E33" w:rsidP="009E2C0E">
            <w:pPr>
              <w:pStyle w:val="TableInnerSideHeading"/>
            </w:pPr>
            <w:r w:rsidRPr="00A759A9">
              <w:rPr>
                <w:sz w:val="26"/>
                <w:rtl/>
              </w:rPr>
              <w:t>"אי מסירת מידע – עוולה</w:t>
            </w:r>
          </w:p>
        </w:tc>
        <w:tc>
          <w:tcPr>
            <w:tcW w:w="624" w:type="dxa"/>
            <w:tcBorders>
              <w:top w:val="nil"/>
              <w:left w:val="nil"/>
              <w:bottom w:val="nil"/>
              <w:right w:val="nil"/>
            </w:tcBorders>
          </w:tcPr>
          <w:p w14:paraId="37B0F9CF" w14:textId="77777777" w:rsidR="007D1E33" w:rsidRPr="00A759A9" w:rsidRDefault="007D1E33" w:rsidP="009E2C0E">
            <w:pPr>
              <w:pStyle w:val="TableText"/>
            </w:pPr>
            <w:r w:rsidRPr="00A759A9">
              <w:rPr>
                <w:sz w:val="26"/>
                <w:rtl/>
              </w:rPr>
              <w:t>19א.</w:t>
            </w:r>
          </w:p>
        </w:tc>
        <w:tc>
          <w:tcPr>
            <w:tcW w:w="4647" w:type="dxa"/>
            <w:tcBorders>
              <w:top w:val="nil"/>
              <w:left w:val="nil"/>
              <w:bottom w:val="nil"/>
              <w:right w:val="nil"/>
            </w:tcBorders>
          </w:tcPr>
          <w:p w14:paraId="1B6C4295" w14:textId="77777777" w:rsidR="007D1E33" w:rsidRPr="00A759A9" w:rsidRDefault="007D1E33" w:rsidP="009E2C0E">
            <w:pPr>
              <w:pStyle w:val="TableBlock"/>
            </w:pPr>
            <w:r w:rsidRPr="00A759A9">
              <w:rPr>
                <w:sz w:val="26"/>
                <w:rtl/>
              </w:rPr>
              <w:t>(א)</w:t>
            </w:r>
            <w:r w:rsidRPr="00A759A9">
              <w:rPr>
                <w:sz w:val="26"/>
                <w:rtl/>
              </w:rPr>
              <w:tab/>
              <w:t>דין מעשה ומחדל בניגוד להוראות חוק זה כדין עוולה לפי פקודת הנזיקין [נוסח חדש]</w:t>
            </w:r>
            <w:r w:rsidRPr="00A759A9">
              <w:rPr>
                <w:rStyle w:val="a7"/>
                <w:sz w:val="26"/>
                <w:rtl/>
              </w:rPr>
              <w:footnoteReference w:id="3"/>
            </w:r>
            <w:r w:rsidRPr="00A759A9">
              <w:rPr>
                <w:sz w:val="26"/>
                <w:rtl/>
              </w:rPr>
              <w:t>.</w:t>
            </w:r>
          </w:p>
        </w:tc>
      </w:tr>
      <w:tr w:rsidR="007D1E33" w14:paraId="1ECD12A9" w14:textId="77777777" w:rsidTr="007D1E33">
        <w:tblPrEx>
          <w:tblLook w:val="0000" w:firstRow="0" w:lastRow="0" w:firstColumn="0" w:lastColumn="0" w:noHBand="0" w:noVBand="0"/>
        </w:tblPrEx>
        <w:trPr>
          <w:cantSplit/>
        </w:trPr>
        <w:tc>
          <w:tcPr>
            <w:tcW w:w="1870" w:type="dxa"/>
            <w:tcBorders>
              <w:top w:val="nil"/>
              <w:left w:val="nil"/>
              <w:bottom w:val="nil"/>
              <w:right w:val="nil"/>
            </w:tcBorders>
          </w:tcPr>
          <w:p w14:paraId="5F4D8A33" w14:textId="77777777" w:rsidR="007D1E33" w:rsidRPr="00A759A9" w:rsidRDefault="007D1E33" w:rsidP="009E2C0E">
            <w:pPr>
              <w:pStyle w:val="TableSideHeading"/>
            </w:pPr>
          </w:p>
        </w:tc>
        <w:tc>
          <w:tcPr>
            <w:tcW w:w="624" w:type="dxa"/>
            <w:tcBorders>
              <w:top w:val="nil"/>
              <w:left w:val="nil"/>
              <w:bottom w:val="nil"/>
              <w:right w:val="nil"/>
            </w:tcBorders>
          </w:tcPr>
          <w:p w14:paraId="3CBBB08D" w14:textId="77777777" w:rsidR="007D1E33" w:rsidRPr="00A759A9" w:rsidRDefault="007D1E33" w:rsidP="009E2C0E">
            <w:pPr>
              <w:pStyle w:val="TableText"/>
            </w:pPr>
          </w:p>
        </w:tc>
        <w:tc>
          <w:tcPr>
            <w:tcW w:w="624" w:type="dxa"/>
            <w:tcBorders>
              <w:top w:val="nil"/>
              <w:left w:val="nil"/>
              <w:bottom w:val="nil"/>
              <w:right w:val="nil"/>
            </w:tcBorders>
          </w:tcPr>
          <w:p w14:paraId="0770EBE4" w14:textId="77777777" w:rsidR="007D1E33" w:rsidRPr="00A759A9" w:rsidRDefault="007D1E33" w:rsidP="009E2C0E">
            <w:pPr>
              <w:pStyle w:val="TableText"/>
            </w:pPr>
          </w:p>
        </w:tc>
        <w:tc>
          <w:tcPr>
            <w:tcW w:w="624" w:type="dxa"/>
            <w:tcBorders>
              <w:top w:val="nil"/>
              <w:left w:val="nil"/>
              <w:bottom w:val="nil"/>
              <w:right w:val="nil"/>
            </w:tcBorders>
          </w:tcPr>
          <w:p w14:paraId="12163511" w14:textId="77777777" w:rsidR="007D1E33" w:rsidRPr="00A759A9" w:rsidRDefault="007D1E33" w:rsidP="009E2C0E">
            <w:pPr>
              <w:pStyle w:val="TableText"/>
            </w:pPr>
          </w:p>
        </w:tc>
        <w:tc>
          <w:tcPr>
            <w:tcW w:w="624" w:type="dxa"/>
            <w:tcBorders>
              <w:top w:val="nil"/>
              <w:left w:val="nil"/>
              <w:bottom w:val="nil"/>
              <w:right w:val="nil"/>
            </w:tcBorders>
          </w:tcPr>
          <w:p w14:paraId="78FE793B" w14:textId="77777777" w:rsidR="007D1E33" w:rsidRPr="00A759A9" w:rsidRDefault="007D1E33" w:rsidP="009E2C0E">
            <w:pPr>
              <w:pStyle w:val="TableText"/>
            </w:pPr>
          </w:p>
        </w:tc>
        <w:tc>
          <w:tcPr>
            <w:tcW w:w="624" w:type="dxa"/>
            <w:tcBorders>
              <w:top w:val="nil"/>
              <w:left w:val="nil"/>
              <w:bottom w:val="nil"/>
              <w:right w:val="nil"/>
            </w:tcBorders>
          </w:tcPr>
          <w:p w14:paraId="557DC524" w14:textId="77777777" w:rsidR="007D1E33" w:rsidRPr="00A759A9" w:rsidRDefault="007D1E33" w:rsidP="009E2C0E">
            <w:pPr>
              <w:pStyle w:val="TableText"/>
            </w:pPr>
          </w:p>
        </w:tc>
        <w:tc>
          <w:tcPr>
            <w:tcW w:w="4647" w:type="dxa"/>
            <w:tcBorders>
              <w:top w:val="nil"/>
              <w:left w:val="nil"/>
              <w:bottom w:val="nil"/>
              <w:right w:val="nil"/>
            </w:tcBorders>
          </w:tcPr>
          <w:p w14:paraId="5500E7E5" w14:textId="77777777" w:rsidR="007D1E33" w:rsidRPr="00A759A9" w:rsidRDefault="007D1E33" w:rsidP="009E2C0E">
            <w:pPr>
              <w:pStyle w:val="TableBlock"/>
            </w:pPr>
            <w:r w:rsidRPr="00A759A9">
              <w:rPr>
                <w:sz w:val="26"/>
                <w:rtl/>
              </w:rPr>
              <w:t>(ב)</w:t>
            </w:r>
            <w:r w:rsidRPr="00A759A9">
              <w:rPr>
                <w:sz w:val="26"/>
                <w:rtl/>
              </w:rPr>
              <w:tab/>
              <w:t>לא תוגש תובענה לפי סעיף זה, אלא אם פנה התובע קודם לכן לרשות הציבורית הנוגעת בדבר, והודיע לה כי בדעתו להגיש תביעה, ואיפשר לה להעביר לידיו את המידע המבוקש בתוך 14 יום ממועד פנייתו.</w:t>
            </w:r>
          </w:p>
        </w:tc>
      </w:tr>
      <w:tr w:rsidR="007D1E33" w14:paraId="300FFAA1" w14:textId="77777777" w:rsidTr="007D1E33">
        <w:tblPrEx>
          <w:tblLook w:val="0000" w:firstRow="0" w:lastRow="0" w:firstColumn="0" w:lastColumn="0" w:noHBand="0" w:noVBand="0"/>
        </w:tblPrEx>
        <w:trPr>
          <w:cantSplit/>
        </w:trPr>
        <w:tc>
          <w:tcPr>
            <w:tcW w:w="1870" w:type="dxa"/>
            <w:tcBorders>
              <w:top w:val="nil"/>
              <w:left w:val="nil"/>
              <w:bottom w:val="nil"/>
              <w:right w:val="nil"/>
            </w:tcBorders>
          </w:tcPr>
          <w:p w14:paraId="3C51A866" w14:textId="77777777" w:rsidR="007D1E33" w:rsidRPr="00A759A9" w:rsidRDefault="007D1E33" w:rsidP="009E2C0E">
            <w:pPr>
              <w:pStyle w:val="TableSideHeading"/>
            </w:pPr>
          </w:p>
        </w:tc>
        <w:tc>
          <w:tcPr>
            <w:tcW w:w="624" w:type="dxa"/>
            <w:tcBorders>
              <w:top w:val="nil"/>
              <w:left w:val="nil"/>
              <w:bottom w:val="nil"/>
              <w:right w:val="nil"/>
            </w:tcBorders>
          </w:tcPr>
          <w:p w14:paraId="23B62414" w14:textId="77777777" w:rsidR="007D1E33" w:rsidRPr="00A759A9" w:rsidRDefault="007D1E33" w:rsidP="009E2C0E">
            <w:pPr>
              <w:pStyle w:val="TableText"/>
            </w:pPr>
          </w:p>
        </w:tc>
        <w:tc>
          <w:tcPr>
            <w:tcW w:w="624" w:type="dxa"/>
            <w:tcBorders>
              <w:top w:val="nil"/>
              <w:left w:val="nil"/>
              <w:bottom w:val="nil"/>
              <w:right w:val="nil"/>
            </w:tcBorders>
          </w:tcPr>
          <w:p w14:paraId="1D92D0A2" w14:textId="77777777" w:rsidR="007D1E33" w:rsidRPr="00A759A9" w:rsidRDefault="007D1E33" w:rsidP="009E2C0E">
            <w:pPr>
              <w:pStyle w:val="TableText"/>
            </w:pPr>
          </w:p>
        </w:tc>
        <w:tc>
          <w:tcPr>
            <w:tcW w:w="624" w:type="dxa"/>
            <w:tcBorders>
              <w:top w:val="nil"/>
              <w:left w:val="nil"/>
              <w:bottom w:val="nil"/>
              <w:right w:val="nil"/>
            </w:tcBorders>
          </w:tcPr>
          <w:p w14:paraId="245AA7A0" w14:textId="77777777" w:rsidR="007D1E33" w:rsidRPr="00A759A9" w:rsidRDefault="007D1E33" w:rsidP="009E2C0E">
            <w:pPr>
              <w:pStyle w:val="TableText"/>
            </w:pPr>
          </w:p>
        </w:tc>
        <w:tc>
          <w:tcPr>
            <w:tcW w:w="624" w:type="dxa"/>
            <w:tcBorders>
              <w:top w:val="nil"/>
              <w:left w:val="nil"/>
              <w:bottom w:val="nil"/>
              <w:right w:val="nil"/>
            </w:tcBorders>
          </w:tcPr>
          <w:p w14:paraId="44DD779F" w14:textId="77777777" w:rsidR="007D1E33" w:rsidRPr="00A759A9" w:rsidRDefault="007D1E33" w:rsidP="009E2C0E">
            <w:pPr>
              <w:pStyle w:val="TableText"/>
            </w:pPr>
          </w:p>
        </w:tc>
        <w:tc>
          <w:tcPr>
            <w:tcW w:w="624" w:type="dxa"/>
            <w:tcBorders>
              <w:top w:val="nil"/>
              <w:left w:val="nil"/>
              <w:bottom w:val="nil"/>
              <w:right w:val="nil"/>
            </w:tcBorders>
          </w:tcPr>
          <w:p w14:paraId="7F42E813" w14:textId="77777777" w:rsidR="007D1E33" w:rsidRPr="00A759A9" w:rsidRDefault="007D1E33" w:rsidP="009E2C0E">
            <w:pPr>
              <w:pStyle w:val="TableText"/>
            </w:pPr>
          </w:p>
        </w:tc>
        <w:tc>
          <w:tcPr>
            <w:tcW w:w="4647" w:type="dxa"/>
            <w:tcBorders>
              <w:top w:val="nil"/>
              <w:left w:val="nil"/>
              <w:bottom w:val="nil"/>
              <w:right w:val="nil"/>
            </w:tcBorders>
          </w:tcPr>
          <w:p w14:paraId="44CE0E86" w14:textId="77777777" w:rsidR="007D1E33" w:rsidRPr="00A759A9" w:rsidRDefault="007D1E33" w:rsidP="009E2C0E">
            <w:pPr>
              <w:pStyle w:val="TableBlock"/>
              <w:rPr>
                <w:sz w:val="26"/>
                <w:rtl/>
              </w:rPr>
            </w:pPr>
            <w:r w:rsidRPr="00A759A9">
              <w:rPr>
                <w:sz w:val="26"/>
                <w:rtl/>
              </w:rPr>
              <w:t>(ג)</w:t>
            </w:r>
            <w:r w:rsidRPr="00A759A9">
              <w:rPr>
                <w:sz w:val="26"/>
                <w:rtl/>
              </w:rPr>
              <w:tab/>
              <w:t xml:space="preserve">במשפט בשל עוולה לפי סעיף  זה רשאי בית המשפט לחייב את הנתבע לשלם לנפגע פיצוי שלא יעלה על </w:t>
            </w:r>
            <w:r w:rsidRPr="00A759A9">
              <w:t>50,000</w:t>
            </w:r>
            <w:r w:rsidRPr="00A759A9">
              <w:rPr>
                <w:sz w:val="26"/>
                <w:rtl/>
              </w:rPr>
              <w:t xml:space="preserve"> שקלים חדשים, ללא הוכחת נזק; הסכומים האמורים בסעיף זה יעודכנו ב-16 בכל חודש, בהתאם לשיעור עליית המדד החדש לעומת המדד הבסיסי;</w:t>
            </w:r>
          </w:p>
        </w:tc>
      </w:tr>
      <w:tr w:rsidR="007D1E33" w14:paraId="438E0B29" w14:textId="77777777" w:rsidTr="007D1E33">
        <w:tblPrEx>
          <w:tblLook w:val="0000" w:firstRow="0" w:lastRow="0" w:firstColumn="0" w:lastColumn="0" w:noHBand="0" w:noVBand="0"/>
        </w:tblPrEx>
        <w:trPr>
          <w:cantSplit/>
        </w:trPr>
        <w:tc>
          <w:tcPr>
            <w:tcW w:w="1870" w:type="dxa"/>
            <w:tcBorders>
              <w:top w:val="nil"/>
              <w:left w:val="nil"/>
              <w:bottom w:val="nil"/>
              <w:right w:val="nil"/>
            </w:tcBorders>
          </w:tcPr>
          <w:p w14:paraId="700EC50F" w14:textId="77777777" w:rsidR="007D1E33" w:rsidRPr="00A759A9" w:rsidRDefault="007D1E33" w:rsidP="009E2C0E">
            <w:pPr>
              <w:pStyle w:val="TableSideHeading"/>
            </w:pPr>
          </w:p>
        </w:tc>
        <w:tc>
          <w:tcPr>
            <w:tcW w:w="624" w:type="dxa"/>
            <w:tcBorders>
              <w:top w:val="nil"/>
              <w:left w:val="nil"/>
              <w:bottom w:val="nil"/>
              <w:right w:val="nil"/>
            </w:tcBorders>
          </w:tcPr>
          <w:p w14:paraId="01AAB0BC" w14:textId="77777777" w:rsidR="007D1E33" w:rsidRPr="00A759A9" w:rsidRDefault="007D1E33" w:rsidP="009E2C0E">
            <w:pPr>
              <w:pStyle w:val="TableText"/>
            </w:pPr>
          </w:p>
        </w:tc>
        <w:tc>
          <w:tcPr>
            <w:tcW w:w="624" w:type="dxa"/>
            <w:tcBorders>
              <w:top w:val="nil"/>
              <w:left w:val="nil"/>
              <w:bottom w:val="nil"/>
              <w:right w:val="nil"/>
            </w:tcBorders>
          </w:tcPr>
          <w:p w14:paraId="0C4ADF83" w14:textId="77777777" w:rsidR="007D1E33" w:rsidRPr="00A759A9" w:rsidRDefault="007D1E33" w:rsidP="009E2C0E">
            <w:pPr>
              <w:pStyle w:val="TableText"/>
            </w:pPr>
          </w:p>
        </w:tc>
        <w:tc>
          <w:tcPr>
            <w:tcW w:w="624" w:type="dxa"/>
            <w:tcBorders>
              <w:top w:val="nil"/>
              <w:left w:val="nil"/>
              <w:bottom w:val="nil"/>
              <w:right w:val="nil"/>
            </w:tcBorders>
          </w:tcPr>
          <w:p w14:paraId="2F6D5572" w14:textId="77777777" w:rsidR="007D1E33" w:rsidRPr="00A759A9" w:rsidRDefault="007D1E33" w:rsidP="009E2C0E">
            <w:pPr>
              <w:pStyle w:val="TableText"/>
            </w:pPr>
          </w:p>
        </w:tc>
        <w:tc>
          <w:tcPr>
            <w:tcW w:w="624" w:type="dxa"/>
            <w:tcBorders>
              <w:top w:val="nil"/>
              <w:left w:val="nil"/>
              <w:bottom w:val="nil"/>
              <w:right w:val="nil"/>
            </w:tcBorders>
          </w:tcPr>
          <w:p w14:paraId="1073D15F" w14:textId="77777777" w:rsidR="007D1E33" w:rsidRPr="00A759A9" w:rsidRDefault="007D1E33" w:rsidP="009E2C0E">
            <w:pPr>
              <w:pStyle w:val="TableText"/>
            </w:pPr>
          </w:p>
        </w:tc>
        <w:tc>
          <w:tcPr>
            <w:tcW w:w="624" w:type="dxa"/>
            <w:tcBorders>
              <w:top w:val="nil"/>
              <w:left w:val="nil"/>
              <w:bottom w:val="nil"/>
              <w:right w:val="nil"/>
            </w:tcBorders>
          </w:tcPr>
          <w:p w14:paraId="4633E15F" w14:textId="77777777" w:rsidR="007D1E33" w:rsidRPr="00A759A9" w:rsidRDefault="007D1E33" w:rsidP="009E2C0E">
            <w:pPr>
              <w:pStyle w:val="TableText"/>
            </w:pPr>
          </w:p>
        </w:tc>
        <w:tc>
          <w:tcPr>
            <w:tcW w:w="4647" w:type="dxa"/>
            <w:tcBorders>
              <w:top w:val="nil"/>
              <w:left w:val="nil"/>
              <w:bottom w:val="nil"/>
              <w:right w:val="nil"/>
            </w:tcBorders>
          </w:tcPr>
          <w:p w14:paraId="4F59D004" w14:textId="77777777" w:rsidR="007D1E33" w:rsidRPr="00A759A9" w:rsidRDefault="007D1E33" w:rsidP="009E2C0E">
            <w:pPr>
              <w:pStyle w:val="TableBlock"/>
              <w:rPr>
                <w:sz w:val="26"/>
                <w:rtl/>
              </w:rPr>
            </w:pPr>
            <w:r w:rsidRPr="00A759A9">
              <w:rPr>
                <w:sz w:val="26"/>
                <w:rtl/>
              </w:rPr>
              <w:t>(ד)</w:t>
            </w:r>
            <w:r w:rsidRPr="00A759A9">
              <w:rPr>
                <w:sz w:val="26"/>
                <w:rtl/>
              </w:rPr>
              <w:tab/>
              <w:t xml:space="preserve">לעניין סעיף קטן זה - </w:t>
            </w:r>
          </w:p>
        </w:tc>
      </w:tr>
      <w:tr w:rsidR="007D1E33" w14:paraId="754F5F5D" w14:textId="77777777" w:rsidTr="007D1E33">
        <w:tblPrEx>
          <w:tblLook w:val="0000" w:firstRow="0" w:lastRow="0" w:firstColumn="0" w:lastColumn="0" w:noHBand="0" w:noVBand="0"/>
        </w:tblPrEx>
        <w:trPr>
          <w:cantSplit/>
        </w:trPr>
        <w:tc>
          <w:tcPr>
            <w:tcW w:w="1870" w:type="dxa"/>
            <w:tcBorders>
              <w:top w:val="nil"/>
              <w:left w:val="nil"/>
              <w:bottom w:val="nil"/>
              <w:right w:val="nil"/>
            </w:tcBorders>
          </w:tcPr>
          <w:p w14:paraId="3B4EF857" w14:textId="77777777" w:rsidR="007D1E33" w:rsidRPr="00A759A9" w:rsidRDefault="007D1E33" w:rsidP="009E2C0E">
            <w:pPr>
              <w:pStyle w:val="TableSideHeading"/>
            </w:pPr>
          </w:p>
        </w:tc>
        <w:tc>
          <w:tcPr>
            <w:tcW w:w="624" w:type="dxa"/>
            <w:tcBorders>
              <w:top w:val="nil"/>
              <w:left w:val="nil"/>
              <w:bottom w:val="nil"/>
              <w:right w:val="nil"/>
            </w:tcBorders>
          </w:tcPr>
          <w:p w14:paraId="5F99F047" w14:textId="77777777" w:rsidR="007D1E33" w:rsidRPr="00A759A9" w:rsidRDefault="007D1E33" w:rsidP="009E2C0E">
            <w:pPr>
              <w:pStyle w:val="TableText"/>
            </w:pPr>
          </w:p>
        </w:tc>
        <w:tc>
          <w:tcPr>
            <w:tcW w:w="624" w:type="dxa"/>
            <w:tcBorders>
              <w:top w:val="nil"/>
              <w:left w:val="nil"/>
              <w:bottom w:val="nil"/>
              <w:right w:val="nil"/>
            </w:tcBorders>
          </w:tcPr>
          <w:p w14:paraId="2FA3C95B" w14:textId="77777777" w:rsidR="007D1E33" w:rsidRPr="00A759A9" w:rsidRDefault="007D1E33" w:rsidP="009E2C0E">
            <w:pPr>
              <w:pStyle w:val="TableText"/>
            </w:pPr>
          </w:p>
        </w:tc>
        <w:tc>
          <w:tcPr>
            <w:tcW w:w="624" w:type="dxa"/>
            <w:tcBorders>
              <w:top w:val="nil"/>
              <w:left w:val="nil"/>
              <w:bottom w:val="nil"/>
              <w:right w:val="nil"/>
            </w:tcBorders>
          </w:tcPr>
          <w:p w14:paraId="397081AC" w14:textId="77777777" w:rsidR="007D1E33" w:rsidRPr="00A759A9" w:rsidRDefault="007D1E33" w:rsidP="009E2C0E">
            <w:pPr>
              <w:pStyle w:val="TableText"/>
            </w:pPr>
          </w:p>
        </w:tc>
        <w:tc>
          <w:tcPr>
            <w:tcW w:w="624" w:type="dxa"/>
            <w:tcBorders>
              <w:top w:val="nil"/>
              <w:left w:val="nil"/>
              <w:bottom w:val="nil"/>
              <w:right w:val="nil"/>
            </w:tcBorders>
          </w:tcPr>
          <w:p w14:paraId="2C2B869E" w14:textId="77777777" w:rsidR="007D1E33" w:rsidRPr="00A759A9" w:rsidRDefault="007D1E33" w:rsidP="009E2C0E">
            <w:pPr>
              <w:pStyle w:val="TableText"/>
            </w:pPr>
          </w:p>
        </w:tc>
        <w:tc>
          <w:tcPr>
            <w:tcW w:w="624" w:type="dxa"/>
            <w:tcBorders>
              <w:top w:val="nil"/>
              <w:left w:val="nil"/>
              <w:bottom w:val="nil"/>
              <w:right w:val="nil"/>
            </w:tcBorders>
          </w:tcPr>
          <w:p w14:paraId="1CD81ACA" w14:textId="77777777" w:rsidR="007D1E33" w:rsidRPr="00A759A9" w:rsidRDefault="007D1E33" w:rsidP="009E2C0E">
            <w:pPr>
              <w:pStyle w:val="TableText"/>
            </w:pPr>
          </w:p>
        </w:tc>
        <w:tc>
          <w:tcPr>
            <w:tcW w:w="4647" w:type="dxa"/>
            <w:tcBorders>
              <w:top w:val="nil"/>
              <w:left w:val="nil"/>
              <w:bottom w:val="nil"/>
              <w:right w:val="nil"/>
            </w:tcBorders>
          </w:tcPr>
          <w:p w14:paraId="2988847C" w14:textId="77777777" w:rsidR="007D1E33" w:rsidRPr="00A759A9" w:rsidRDefault="007D1E33" w:rsidP="009E2C0E">
            <w:pPr>
              <w:pStyle w:val="TableBlockOutdent"/>
              <w:rPr>
                <w:sz w:val="26"/>
                <w:rtl/>
              </w:rPr>
            </w:pPr>
            <w:r w:rsidRPr="00A759A9">
              <w:rPr>
                <w:sz w:val="26"/>
                <w:rtl/>
              </w:rPr>
              <w:t xml:space="preserve">"מדד" – מדד המחירים לצרכן שמפרסמת הלשכה המרכזית לסטטיסטיקה; </w:t>
            </w:r>
          </w:p>
        </w:tc>
      </w:tr>
      <w:tr w:rsidR="007D1E33" w14:paraId="20C3436C" w14:textId="77777777" w:rsidTr="007D1E33">
        <w:tblPrEx>
          <w:tblLook w:val="0000" w:firstRow="0" w:lastRow="0" w:firstColumn="0" w:lastColumn="0" w:noHBand="0" w:noVBand="0"/>
        </w:tblPrEx>
        <w:trPr>
          <w:cantSplit/>
        </w:trPr>
        <w:tc>
          <w:tcPr>
            <w:tcW w:w="1870" w:type="dxa"/>
            <w:tcBorders>
              <w:top w:val="nil"/>
              <w:left w:val="nil"/>
              <w:bottom w:val="nil"/>
              <w:right w:val="nil"/>
            </w:tcBorders>
          </w:tcPr>
          <w:p w14:paraId="010A5638" w14:textId="77777777" w:rsidR="007D1E33" w:rsidRPr="00A759A9" w:rsidRDefault="007D1E33" w:rsidP="009E2C0E">
            <w:pPr>
              <w:pStyle w:val="TableSideHeading"/>
            </w:pPr>
          </w:p>
        </w:tc>
        <w:tc>
          <w:tcPr>
            <w:tcW w:w="624" w:type="dxa"/>
            <w:tcBorders>
              <w:top w:val="nil"/>
              <w:left w:val="nil"/>
              <w:bottom w:val="nil"/>
              <w:right w:val="nil"/>
            </w:tcBorders>
          </w:tcPr>
          <w:p w14:paraId="049A5752" w14:textId="77777777" w:rsidR="007D1E33" w:rsidRPr="00A759A9" w:rsidRDefault="007D1E33" w:rsidP="009E2C0E">
            <w:pPr>
              <w:pStyle w:val="TableText"/>
            </w:pPr>
          </w:p>
        </w:tc>
        <w:tc>
          <w:tcPr>
            <w:tcW w:w="624" w:type="dxa"/>
            <w:tcBorders>
              <w:top w:val="nil"/>
              <w:left w:val="nil"/>
              <w:bottom w:val="nil"/>
              <w:right w:val="nil"/>
            </w:tcBorders>
          </w:tcPr>
          <w:p w14:paraId="3014A860" w14:textId="77777777" w:rsidR="007D1E33" w:rsidRPr="00A759A9" w:rsidRDefault="007D1E33" w:rsidP="009E2C0E">
            <w:pPr>
              <w:pStyle w:val="TableText"/>
            </w:pPr>
          </w:p>
        </w:tc>
        <w:tc>
          <w:tcPr>
            <w:tcW w:w="624" w:type="dxa"/>
            <w:tcBorders>
              <w:top w:val="nil"/>
              <w:left w:val="nil"/>
              <w:bottom w:val="nil"/>
              <w:right w:val="nil"/>
            </w:tcBorders>
          </w:tcPr>
          <w:p w14:paraId="238C4A12" w14:textId="77777777" w:rsidR="007D1E33" w:rsidRPr="00A759A9" w:rsidRDefault="007D1E33" w:rsidP="009E2C0E">
            <w:pPr>
              <w:pStyle w:val="TableText"/>
            </w:pPr>
          </w:p>
        </w:tc>
        <w:tc>
          <w:tcPr>
            <w:tcW w:w="624" w:type="dxa"/>
            <w:tcBorders>
              <w:top w:val="nil"/>
              <w:left w:val="nil"/>
              <w:bottom w:val="nil"/>
              <w:right w:val="nil"/>
            </w:tcBorders>
          </w:tcPr>
          <w:p w14:paraId="58024AE6" w14:textId="77777777" w:rsidR="007D1E33" w:rsidRPr="00A759A9" w:rsidRDefault="007D1E33" w:rsidP="009E2C0E">
            <w:pPr>
              <w:pStyle w:val="TableText"/>
            </w:pPr>
          </w:p>
        </w:tc>
        <w:tc>
          <w:tcPr>
            <w:tcW w:w="624" w:type="dxa"/>
            <w:tcBorders>
              <w:top w:val="nil"/>
              <w:left w:val="nil"/>
              <w:bottom w:val="nil"/>
              <w:right w:val="nil"/>
            </w:tcBorders>
          </w:tcPr>
          <w:p w14:paraId="6B003E25" w14:textId="77777777" w:rsidR="007D1E33" w:rsidRPr="00A759A9" w:rsidRDefault="007D1E33" w:rsidP="009E2C0E">
            <w:pPr>
              <w:pStyle w:val="TableText"/>
            </w:pPr>
          </w:p>
        </w:tc>
        <w:tc>
          <w:tcPr>
            <w:tcW w:w="4647" w:type="dxa"/>
            <w:tcBorders>
              <w:top w:val="nil"/>
              <w:left w:val="nil"/>
              <w:bottom w:val="nil"/>
              <w:right w:val="nil"/>
            </w:tcBorders>
          </w:tcPr>
          <w:p w14:paraId="035CF8D9" w14:textId="77777777" w:rsidR="007D1E33" w:rsidRPr="00A759A9" w:rsidRDefault="007D1E33" w:rsidP="009E2C0E">
            <w:pPr>
              <w:pStyle w:val="TableBlockOutdent"/>
              <w:rPr>
                <w:sz w:val="26"/>
                <w:rtl/>
              </w:rPr>
            </w:pPr>
            <w:r w:rsidRPr="00A759A9">
              <w:rPr>
                <w:sz w:val="26"/>
                <w:rtl/>
              </w:rPr>
              <w:t xml:space="preserve">"המדד החדש" – מדד החודש שקדם לחודש העדכון; </w:t>
            </w:r>
          </w:p>
        </w:tc>
      </w:tr>
      <w:tr w:rsidR="007D1E33" w14:paraId="3B15CBCA" w14:textId="77777777" w:rsidTr="007D1E33">
        <w:tblPrEx>
          <w:tblLook w:val="0000" w:firstRow="0" w:lastRow="0" w:firstColumn="0" w:lastColumn="0" w:noHBand="0" w:noVBand="0"/>
        </w:tblPrEx>
        <w:trPr>
          <w:cantSplit/>
        </w:trPr>
        <w:tc>
          <w:tcPr>
            <w:tcW w:w="1870" w:type="dxa"/>
            <w:tcBorders>
              <w:top w:val="nil"/>
              <w:left w:val="nil"/>
              <w:bottom w:val="nil"/>
              <w:right w:val="nil"/>
            </w:tcBorders>
          </w:tcPr>
          <w:p w14:paraId="7DFE4E9D" w14:textId="77777777" w:rsidR="007D1E33" w:rsidRPr="00A759A9" w:rsidRDefault="007D1E33" w:rsidP="009E2C0E">
            <w:pPr>
              <w:pStyle w:val="TableSideHeading"/>
            </w:pPr>
          </w:p>
        </w:tc>
        <w:tc>
          <w:tcPr>
            <w:tcW w:w="624" w:type="dxa"/>
            <w:tcBorders>
              <w:top w:val="nil"/>
              <w:left w:val="nil"/>
              <w:bottom w:val="nil"/>
              <w:right w:val="nil"/>
            </w:tcBorders>
          </w:tcPr>
          <w:p w14:paraId="201AC8B6" w14:textId="77777777" w:rsidR="007D1E33" w:rsidRPr="00A759A9" w:rsidRDefault="007D1E33" w:rsidP="009E2C0E">
            <w:pPr>
              <w:pStyle w:val="TableText"/>
            </w:pPr>
          </w:p>
        </w:tc>
        <w:tc>
          <w:tcPr>
            <w:tcW w:w="624" w:type="dxa"/>
            <w:tcBorders>
              <w:top w:val="nil"/>
              <w:left w:val="nil"/>
              <w:bottom w:val="nil"/>
              <w:right w:val="nil"/>
            </w:tcBorders>
          </w:tcPr>
          <w:p w14:paraId="3E92A258" w14:textId="77777777" w:rsidR="007D1E33" w:rsidRPr="00A759A9" w:rsidRDefault="007D1E33" w:rsidP="009E2C0E">
            <w:pPr>
              <w:pStyle w:val="TableText"/>
            </w:pPr>
          </w:p>
        </w:tc>
        <w:tc>
          <w:tcPr>
            <w:tcW w:w="624" w:type="dxa"/>
            <w:tcBorders>
              <w:top w:val="nil"/>
              <w:left w:val="nil"/>
              <w:bottom w:val="nil"/>
              <w:right w:val="nil"/>
            </w:tcBorders>
          </w:tcPr>
          <w:p w14:paraId="1A6AD49A" w14:textId="77777777" w:rsidR="007D1E33" w:rsidRPr="00A759A9" w:rsidRDefault="007D1E33" w:rsidP="009E2C0E">
            <w:pPr>
              <w:pStyle w:val="TableText"/>
            </w:pPr>
          </w:p>
        </w:tc>
        <w:tc>
          <w:tcPr>
            <w:tcW w:w="624" w:type="dxa"/>
            <w:tcBorders>
              <w:top w:val="nil"/>
              <w:left w:val="nil"/>
              <w:bottom w:val="nil"/>
              <w:right w:val="nil"/>
            </w:tcBorders>
          </w:tcPr>
          <w:p w14:paraId="0F6AC821" w14:textId="77777777" w:rsidR="007D1E33" w:rsidRPr="00A759A9" w:rsidRDefault="007D1E33" w:rsidP="009E2C0E">
            <w:pPr>
              <w:pStyle w:val="TableText"/>
            </w:pPr>
          </w:p>
        </w:tc>
        <w:tc>
          <w:tcPr>
            <w:tcW w:w="624" w:type="dxa"/>
            <w:tcBorders>
              <w:top w:val="nil"/>
              <w:left w:val="nil"/>
              <w:bottom w:val="nil"/>
              <w:right w:val="nil"/>
            </w:tcBorders>
          </w:tcPr>
          <w:p w14:paraId="0E8C459A" w14:textId="77777777" w:rsidR="007D1E33" w:rsidRPr="00A759A9" w:rsidRDefault="007D1E33" w:rsidP="009E2C0E">
            <w:pPr>
              <w:pStyle w:val="TableText"/>
            </w:pPr>
          </w:p>
        </w:tc>
        <w:tc>
          <w:tcPr>
            <w:tcW w:w="4647" w:type="dxa"/>
            <w:tcBorders>
              <w:top w:val="nil"/>
              <w:left w:val="nil"/>
              <w:bottom w:val="nil"/>
              <w:right w:val="nil"/>
            </w:tcBorders>
          </w:tcPr>
          <w:p w14:paraId="3656CD7C" w14:textId="77777777" w:rsidR="007D1E33" w:rsidRPr="00A759A9" w:rsidRDefault="007D1E33" w:rsidP="009E2C0E">
            <w:pPr>
              <w:pStyle w:val="TableBlockOutdent"/>
              <w:rPr>
                <w:sz w:val="26"/>
                <w:rtl/>
              </w:rPr>
            </w:pPr>
            <w:r w:rsidRPr="00A759A9">
              <w:rPr>
                <w:sz w:val="26"/>
                <w:rtl/>
              </w:rPr>
              <w:t>"המדד הבסיסי" – מדד חודש ספטמבר 2009."</w:t>
            </w:r>
          </w:p>
        </w:tc>
      </w:tr>
      <w:tr w:rsidR="002F1D80" w14:paraId="3D9B61D1" w14:textId="77777777" w:rsidTr="007D1E33">
        <w:trPr>
          <w:cantSplit/>
          <w:trHeight w:val="60"/>
        </w:trPr>
        <w:tc>
          <w:tcPr>
            <w:tcW w:w="1871" w:type="dxa"/>
          </w:tcPr>
          <w:p w14:paraId="6C0CB9D8" w14:textId="77777777" w:rsidR="002F1D80" w:rsidRPr="007D1E33" w:rsidRDefault="002F1D80" w:rsidP="002C3041">
            <w:pPr>
              <w:pStyle w:val="TableSideHeading"/>
              <w:keepLines w:val="0"/>
            </w:pPr>
          </w:p>
        </w:tc>
        <w:tc>
          <w:tcPr>
            <w:tcW w:w="624" w:type="dxa"/>
          </w:tcPr>
          <w:p w14:paraId="3F4286A2" w14:textId="77777777" w:rsidR="002F1D80" w:rsidRDefault="002F1D80" w:rsidP="002C3041">
            <w:pPr>
              <w:pStyle w:val="TableText"/>
              <w:keepLines w:val="0"/>
            </w:pPr>
          </w:p>
        </w:tc>
        <w:tc>
          <w:tcPr>
            <w:tcW w:w="7146" w:type="dxa"/>
            <w:gridSpan w:val="5"/>
          </w:tcPr>
          <w:p w14:paraId="7633D5BB" w14:textId="77777777" w:rsidR="002F1D80" w:rsidRPr="00C34DE2" w:rsidRDefault="002F1D80" w:rsidP="002C3041">
            <w:pPr>
              <w:pStyle w:val="TableBlock"/>
              <w:keepLines w:val="0"/>
            </w:pPr>
          </w:p>
        </w:tc>
      </w:tr>
    </w:tbl>
    <w:p w14:paraId="7F6961CA" w14:textId="77777777" w:rsidR="002D1EE3" w:rsidRDefault="002D1EE3" w:rsidP="002D1EE3">
      <w:pPr>
        <w:pStyle w:val="HeadDivreiHesber"/>
        <w:rPr>
          <w:rtl/>
        </w:rPr>
      </w:pPr>
      <w:r w:rsidRPr="0027450A">
        <w:rPr>
          <w:rFonts w:hint="cs"/>
          <w:rtl/>
        </w:rPr>
        <w:t>דברי הסבר</w:t>
      </w:r>
    </w:p>
    <w:p w14:paraId="3860CEDF" w14:textId="77777777" w:rsidR="007D1E33" w:rsidRDefault="007D1E33" w:rsidP="007D1E33">
      <w:pPr>
        <w:pStyle w:val="Hesber"/>
        <w:rPr>
          <w:sz w:val="26"/>
          <w:rtl/>
        </w:rPr>
      </w:pPr>
      <w:r>
        <w:rPr>
          <w:rFonts w:hint="cs"/>
          <w:sz w:val="26"/>
          <w:rtl/>
        </w:rPr>
        <w:t xml:space="preserve">הצעת חוק זו באה לתקן את </w:t>
      </w:r>
      <w:r>
        <w:rPr>
          <w:sz w:val="26"/>
          <w:rtl/>
        </w:rPr>
        <w:t>חוק חופש המידע</w:t>
      </w:r>
      <w:r>
        <w:rPr>
          <w:rFonts w:hint="cs"/>
          <w:sz w:val="26"/>
          <w:rtl/>
        </w:rPr>
        <w:t>, ה</w:t>
      </w:r>
      <w:r>
        <w:rPr>
          <w:sz w:val="26"/>
          <w:rtl/>
        </w:rPr>
        <w:t xml:space="preserve">סובל כיום מבעיות רבות ביישומו ובסחבת בירוקרטית מלאה המרתיעה אזרחים רבים ממימוש זכותם לקבלת מידע. </w:t>
      </w:r>
    </w:p>
    <w:p w14:paraId="74ED09FD" w14:textId="77777777" w:rsidR="007D1E33" w:rsidRDefault="007D1E33" w:rsidP="007D1E33">
      <w:pPr>
        <w:pStyle w:val="Hesber"/>
        <w:rPr>
          <w:sz w:val="26"/>
          <w:rtl/>
        </w:rPr>
      </w:pPr>
    </w:p>
    <w:p w14:paraId="44A52BF7" w14:textId="77777777" w:rsidR="007D1E33" w:rsidRDefault="007D1E33" w:rsidP="007D1E33">
      <w:pPr>
        <w:pStyle w:val="Hesber"/>
        <w:rPr>
          <w:sz w:val="26"/>
          <w:rtl/>
        </w:rPr>
      </w:pPr>
      <w:r w:rsidRPr="00DB77F8">
        <w:rPr>
          <w:sz w:val="26"/>
          <w:rtl/>
        </w:rPr>
        <w:t xml:space="preserve">רשויות ציבוריות רבות עדיין </w:t>
      </w:r>
      <w:r>
        <w:rPr>
          <w:sz w:val="26"/>
          <w:rtl/>
        </w:rPr>
        <w:t>מתייחסות לסד</w:t>
      </w:r>
      <w:r w:rsidRPr="00DB77F8">
        <w:rPr>
          <w:sz w:val="26"/>
          <w:rtl/>
        </w:rPr>
        <w:t xml:space="preserve"> הזמנים </w:t>
      </w:r>
      <w:r>
        <w:rPr>
          <w:sz w:val="26"/>
          <w:rtl/>
        </w:rPr>
        <w:t>ה</w:t>
      </w:r>
      <w:r w:rsidRPr="00DB77F8">
        <w:rPr>
          <w:sz w:val="26"/>
          <w:rtl/>
        </w:rPr>
        <w:t xml:space="preserve">קובע </w:t>
      </w:r>
      <w:r>
        <w:rPr>
          <w:sz w:val="26"/>
          <w:rtl/>
        </w:rPr>
        <w:t xml:space="preserve">בחוק כאל </w:t>
      </w:r>
      <w:r w:rsidRPr="00DB77F8">
        <w:rPr>
          <w:sz w:val="26"/>
          <w:rtl/>
        </w:rPr>
        <w:t>המלצה בלבד, ו</w:t>
      </w:r>
      <w:r>
        <w:rPr>
          <w:sz w:val="26"/>
          <w:rtl/>
        </w:rPr>
        <w:t>אינן רואות</w:t>
      </w:r>
      <w:r w:rsidRPr="00DB77F8">
        <w:rPr>
          <w:sz w:val="26"/>
          <w:rtl/>
        </w:rPr>
        <w:t xml:space="preserve"> בבקשות חופש מידע חלק אינטגרלי מתפקידן. פעמים רבות</w:t>
      </w:r>
      <w:r w:rsidRPr="00B8030E">
        <w:rPr>
          <w:sz w:val="26"/>
          <w:rtl/>
        </w:rPr>
        <w:t xml:space="preserve"> גורמות הרשויות למבקש המידע להמתין עד לחלוף תקופת הזמן הקבועה בחוק, על כל הארכותיה האפשריות</w:t>
      </w:r>
      <w:r>
        <w:rPr>
          <w:sz w:val="26"/>
          <w:rtl/>
        </w:rPr>
        <w:t xml:space="preserve">. </w:t>
      </w:r>
      <w:r w:rsidRPr="00DB77F8">
        <w:rPr>
          <w:sz w:val="26"/>
          <w:rtl/>
        </w:rPr>
        <w:t>התוצאה היא שרק פונים נחושים ובעלי אמצעים מסוגלים לצעוד בנתיב הארוך</w:t>
      </w:r>
      <w:r>
        <w:rPr>
          <w:sz w:val="26"/>
          <w:rtl/>
        </w:rPr>
        <w:t xml:space="preserve"> והמייגע של בקשת חופש מידע</w:t>
      </w:r>
      <w:r>
        <w:rPr>
          <w:rFonts w:hint="cs"/>
          <w:sz w:val="26"/>
          <w:rtl/>
        </w:rPr>
        <w:t xml:space="preserve">. </w:t>
      </w:r>
    </w:p>
    <w:p w14:paraId="0F9482B8" w14:textId="77777777" w:rsidR="007D1E33" w:rsidRDefault="007D1E33" w:rsidP="007D1E33">
      <w:pPr>
        <w:pStyle w:val="Hesber"/>
        <w:rPr>
          <w:sz w:val="26"/>
          <w:rtl/>
        </w:rPr>
      </w:pPr>
    </w:p>
    <w:p w14:paraId="4F67741B" w14:textId="77777777" w:rsidR="007D1E33" w:rsidRDefault="007D1E33" w:rsidP="007D1E33">
      <w:pPr>
        <w:pStyle w:val="Hesber"/>
        <w:rPr>
          <w:sz w:val="26"/>
          <w:rtl/>
        </w:rPr>
      </w:pPr>
      <w:r w:rsidRPr="00DB77F8">
        <w:rPr>
          <w:sz w:val="26"/>
          <w:rtl/>
        </w:rPr>
        <w:t>לפיכך, נדרש</w:t>
      </w:r>
      <w:r>
        <w:rPr>
          <w:sz w:val="26"/>
          <w:rtl/>
        </w:rPr>
        <w:t xml:space="preserve"> שינוי חקיקתי</w:t>
      </w:r>
      <w:r w:rsidRPr="00DB77F8">
        <w:rPr>
          <w:sz w:val="26"/>
          <w:rtl/>
        </w:rPr>
        <w:t xml:space="preserve"> שיגרום לרשויות להקפיד על עמידה בזמנים, בכך </w:t>
      </w:r>
      <w:r>
        <w:rPr>
          <w:sz w:val="26"/>
          <w:rtl/>
        </w:rPr>
        <w:t>שיטיל</w:t>
      </w:r>
      <w:r w:rsidRPr="00DB77F8">
        <w:rPr>
          <w:sz w:val="26"/>
          <w:rtl/>
        </w:rPr>
        <w:t xml:space="preserve"> סנקציה הולמת על עיכובים </w:t>
      </w:r>
      <w:r>
        <w:rPr>
          <w:sz w:val="26"/>
          <w:rtl/>
        </w:rPr>
        <w:t xml:space="preserve">שאינם מוצדקים. </w:t>
      </w:r>
      <w:r w:rsidRPr="00B8030E">
        <w:rPr>
          <w:sz w:val="26"/>
          <w:rtl/>
        </w:rPr>
        <w:t>הצעת החוק באה לקדם את אכיפתן של ההוראות המרכזיות של חוק חופש המידע על ידי הוספת מסד חיוני של אחריות לאי קיום הוראות אלה, מסד שעד כה נעדר מנוף החוק.</w:t>
      </w:r>
    </w:p>
    <w:p w14:paraId="4EDE108A" w14:textId="77777777" w:rsidR="007D1E33" w:rsidRDefault="007D1E33" w:rsidP="007D1E33">
      <w:pPr>
        <w:pStyle w:val="Hesber"/>
        <w:rPr>
          <w:sz w:val="26"/>
          <w:rtl/>
        </w:rPr>
      </w:pPr>
    </w:p>
    <w:p w14:paraId="382D6B14" w14:textId="77777777" w:rsidR="007D1E33" w:rsidRDefault="007D1E33" w:rsidP="007D1E33">
      <w:pPr>
        <w:pStyle w:val="Hesber"/>
        <w:rPr>
          <w:sz w:val="26"/>
          <w:rtl/>
        </w:rPr>
      </w:pPr>
      <w:r>
        <w:rPr>
          <w:sz w:val="26"/>
          <w:rtl/>
        </w:rPr>
        <w:t>הצעת החוק מבקשת לקדם את אכיפת החוק על ידי אמצעים אלה:</w:t>
      </w:r>
    </w:p>
    <w:p w14:paraId="4171BC27" w14:textId="1F2B972F" w:rsidR="007D1E33" w:rsidRDefault="007D1E33" w:rsidP="00BF37E0">
      <w:pPr>
        <w:pStyle w:val="Hesber"/>
        <w:ind w:firstLine="0"/>
        <w:rPr>
          <w:sz w:val="26"/>
          <w:rtl/>
        </w:rPr>
      </w:pPr>
      <w:r>
        <w:rPr>
          <w:sz w:val="26"/>
          <w:rtl/>
        </w:rPr>
        <w:t xml:space="preserve">1. </w:t>
      </w:r>
      <w:r>
        <w:rPr>
          <w:rFonts w:hint="cs"/>
          <w:sz w:val="26"/>
          <w:rtl/>
        </w:rPr>
        <w:t>רשות ציבורית שתפר את חובת הדיווח השנתי שלה יותר מ</w:t>
      </w:r>
      <w:r w:rsidR="00BF37E0">
        <w:rPr>
          <w:rFonts w:hint="cs"/>
          <w:sz w:val="26"/>
          <w:rtl/>
        </w:rPr>
        <w:t>שלוש פעמים</w:t>
      </w:r>
      <w:bookmarkStart w:id="8" w:name="_GoBack"/>
      <w:bookmarkEnd w:id="8"/>
      <w:r>
        <w:rPr>
          <w:rFonts w:hint="cs"/>
          <w:sz w:val="26"/>
          <w:rtl/>
        </w:rPr>
        <w:t xml:space="preserve"> ברציפות, תהא חשופה להטלת סנקציה תקציבית. כך יקבל ביטוי העיקרון לפיו רשויות ציבוריות העומדות בחובת הגילוי כלפי הציבור, תהיינה זכאיות ליהנות מכספי הציבור. </w:t>
      </w:r>
    </w:p>
    <w:p w14:paraId="434BEE7F" w14:textId="77777777" w:rsidR="007D1E33" w:rsidRDefault="007D1E33" w:rsidP="007D1E33">
      <w:pPr>
        <w:pStyle w:val="Hesber"/>
        <w:ind w:firstLine="0"/>
        <w:rPr>
          <w:sz w:val="26"/>
          <w:rtl/>
        </w:rPr>
      </w:pPr>
    </w:p>
    <w:p w14:paraId="53095F2B" w14:textId="77777777" w:rsidR="007D1E33" w:rsidRPr="00D22764" w:rsidRDefault="007D1E33" w:rsidP="007D1E33">
      <w:pPr>
        <w:pStyle w:val="Hesber"/>
        <w:ind w:firstLine="0"/>
        <w:rPr>
          <w:sz w:val="26"/>
        </w:rPr>
      </w:pPr>
      <w:r>
        <w:rPr>
          <w:rFonts w:hint="cs"/>
          <w:sz w:val="26"/>
          <w:rtl/>
        </w:rPr>
        <w:t xml:space="preserve">2. </w:t>
      </w:r>
      <w:r>
        <w:rPr>
          <w:sz w:val="26"/>
          <w:rtl/>
        </w:rPr>
        <w:t xml:space="preserve">הוספת הוראה לחוק הקובעת כי </w:t>
      </w:r>
      <w:r>
        <w:rPr>
          <w:rFonts w:hint="cs"/>
          <w:sz w:val="26"/>
          <w:rtl/>
        </w:rPr>
        <w:t>רשות ציבורית שתפר את הוראות החוק בדבר</w:t>
      </w:r>
      <w:r>
        <w:rPr>
          <w:sz w:val="26"/>
          <w:rtl/>
        </w:rPr>
        <w:t xml:space="preserve"> מסירת מידע לאדם הזכאי לכך</w:t>
      </w:r>
      <w:r>
        <w:rPr>
          <w:rFonts w:hint="cs"/>
          <w:sz w:val="26"/>
          <w:rtl/>
        </w:rPr>
        <w:t>,</w:t>
      </w:r>
      <w:r>
        <w:rPr>
          <w:sz w:val="26"/>
          <w:rtl/>
        </w:rPr>
        <w:t xml:space="preserve"> תהווה עוולה בנזיקין המזכה את מי שזכאי לקבלת המידע בפיצוי ללא הוכחת נזק בסכום מינימלי של 50,000 ש"ח.  קביעת הסכום</w:t>
      </w:r>
      <w:r>
        <w:rPr>
          <w:rFonts w:hint="cs"/>
          <w:sz w:val="26"/>
          <w:rtl/>
        </w:rPr>
        <w:t xml:space="preserve"> מבקשת להרתיע את הרשויות מפני גרירת רגליים במילוי הוראות </w:t>
      </w:r>
      <w:r>
        <w:rPr>
          <w:rFonts w:hint="cs"/>
          <w:sz w:val="26"/>
          <w:rtl/>
        </w:rPr>
        <w:lastRenderedPageBreak/>
        <w:t>החוק.</w:t>
      </w:r>
      <w:r>
        <w:rPr>
          <w:sz w:val="26"/>
          <w:rtl/>
        </w:rPr>
        <w:t xml:space="preserve"> </w:t>
      </w:r>
      <w:r>
        <w:rPr>
          <w:rFonts w:hint="cs"/>
          <w:sz w:val="26"/>
          <w:rtl/>
        </w:rPr>
        <w:t xml:space="preserve">כמו כן, על מנת </w:t>
      </w:r>
      <w:r>
        <w:rPr>
          <w:sz w:val="26"/>
          <w:rtl/>
        </w:rPr>
        <w:t>למנוע תביעות קנטרניות</w:t>
      </w:r>
      <w:r>
        <w:rPr>
          <w:rFonts w:hint="cs"/>
          <w:sz w:val="26"/>
          <w:rtl/>
        </w:rPr>
        <w:t>,</w:t>
      </w:r>
      <w:r>
        <w:rPr>
          <w:sz w:val="26"/>
          <w:rtl/>
        </w:rPr>
        <w:t xml:space="preserve"> </w:t>
      </w:r>
      <w:r>
        <w:rPr>
          <w:rFonts w:hint="cs"/>
          <w:sz w:val="26"/>
          <w:rtl/>
        </w:rPr>
        <w:t>התובע יחויב במתן</w:t>
      </w:r>
      <w:r>
        <w:rPr>
          <w:sz w:val="26"/>
          <w:rtl/>
        </w:rPr>
        <w:t xml:space="preserve"> הודעה לרשות ו</w:t>
      </w:r>
      <w:r>
        <w:rPr>
          <w:rFonts w:hint="cs"/>
          <w:sz w:val="26"/>
          <w:rtl/>
        </w:rPr>
        <w:t xml:space="preserve">כן </w:t>
      </w:r>
      <w:r>
        <w:rPr>
          <w:sz w:val="26"/>
          <w:rtl/>
        </w:rPr>
        <w:t xml:space="preserve">מתן הזדמנות </w:t>
      </w:r>
      <w:r>
        <w:rPr>
          <w:rFonts w:hint="cs"/>
          <w:sz w:val="26"/>
          <w:rtl/>
        </w:rPr>
        <w:t xml:space="preserve">לרשות </w:t>
      </w:r>
      <w:r>
        <w:rPr>
          <w:sz w:val="26"/>
          <w:rtl/>
        </w:rPr>
        <w:t>לתקן טרם פניה להליך המשפטי;</w:t>
      </w:r>
    </w:p>
    <w:p w14:paraId="2994D714" w14:textId="77777777" w:rsidR="007D1E33" w:rsidRDefault="007D1E33" w:rsidP="007D1E33">
      <w:pPr>
        <w:pStyle w:val="Hesber"/>
        <w:ind w:firstLine="0"/>
        <w:rPr>
          <w:sz w:val="26"/>
          <w:rtl/>
        </w:rPr>
      </w:pPr>
    </w:p>
    <w:p w14:paraId="4E0BE7AB" w14:textId="77777777" w:rsidR="007D1E33" w:rsidRDefault="007D1E33" w:rsidP="007D1E33">
      <w:pPr>
        <w:pStyle w:val="Hesber"/>
        <w:ind w:firstLine="0"/>
        <w:rPr>
          <w:sz w:val="26"/>
          <w:rtl/>
        </w:rPr>
      </w:pPr>
      <w:r>
        <w:rPr>
          <w:sz w:val="26"/>
          <w:rtl/>
        </w:rPr>
        <w:t xml:space="preserve">3. </w:t>
      </w:r>
      <w:r>
        <w:rPr>
          <w:rFonts w:hint="cs"/>
          <w:sz w:val="26"/>
          <w:rtl/>
        </w:rPr>
        <w:t>על הגופים הציבוריים החייבים בחובת גילוי תוטל</w:t>
      </w:r>
      <w:r>
        <w:rPr>
          <w:sz w:val="26"/>
          <w:rtl/>
        </w:rPr>
        <w:t xml:space="preserve"> חובות הודעה מוקדמת על ארכות</w:t>
      </w:r>
      <w:r>
        <w:rPr>
          <w:rFonts w:hint="cs"/>
          <w:sz w:val="26"/>
          <w:rtl/>
        </w:rPr>
        <w:t xml:space="preserve"> במתן תשובה לבקשה</w:t>
      </w:r>
      <w:r>
        <w:rPr>
          <w:sz w:val="26"/>
          <w:rtl/>
        </w:rPr>
        <w:t>, כך ש</w:t>
      </w:r>
      <w:r>
        <w:rPr>
          <w:rFonts w:hint="cs"/>
          <w:sz w:val="26"/>
          <w:rtl/>
        </w:rPr>
        <w:t>מסגרת ההארכה תהא ידועה</w:t>
      </w:r>
      <w:r>
        <w:rPr>
          <w:sz w:val="26"/>
          <w:rtl/>
        </w:rPr>
        <w:t xml:space="preserve"> מראש ותינתן </w:t>
      </w:r>
      <w:r>
        <w:rPr>
          <w:rFonts w:hint="cs"/>
          <w:sz w:val="26"/>
          <w:rtl/>
        </w:rPr>
        <w:t xml:space="preserve">למבקש הודעה על כך </w:t>
      </w:r>
      <w:r>
        <w:rPr>
          <w:sz w:val="26"/>
          <w:rtl/>
        </w:rPr>
        <w:t>מבעוד מועד.</w:t>
      </w:r>
    </w:p>
    <w:p w14:paraId="7F6961CB" w14:textId="77777777" w:rsidR="00E13C27" w:rsidRDefault="00E13C27" w:rsidP="007D1E33">
      <w:pPr>
        <w:pStyle w:val="Hesber"/>
        <w:rPr>
          <w:rtl/>
        </w:rPr>
      </w:pPr>
    </w:p>
    <w:sectPr w:rsidR="00E13C27" w:rsidSect="001207F8">
      <w:footerReference w:type="even" r:id="rId11"/>
      <w:footerReference w:type="default" r:id="rId12"/>
      <w:pgSz w:w="11907" w:h="16840" w:code="9"/>
      <w:pgMar w:top="1134" w:right="1134" w:bottom="1134" w:left="1134" w:header="680" w:footer="680" w:gutter="0"/>
      <w:cols w:space="720"/>
      <w:noEndnote/>
      <w:titlePg/>
      <w:bidi/>
      <w:rtlGutter/>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88A69" w14:textId="77777777" w:rsidR="00A942C1" w:rsidRDefault="00A942C1">
      <w:r>
        <w:separator/>
      </w:r>
    </w:p>
  </w:endnote>
  <w:endnote w:type="continuationSeparator" w:id="0">
    <w:p w14:paraId="318F26FB" w14:textId="77777777" w:rsidR="00A942C1" w:rsidRDefault="00A942C1">
      <w:r>
        <w:continuationSeparator/>
      </w:r>
    </w:p>
  </w:endnote>
  <w:endnote w:type="continuationNotice" w:id="1">
    <w:p w14:paraId="6BE48FD5" w14:textId="77777777" w:rsidR="00A942C1" w:rsidRDefault="00A942C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Hadasa Roso SL">
    <w:altName w:val="Times New Roman"/>
    <w:charset w:val="00"/>
    <w:family w:val="roman"/>
    <w:pitch w:val="variable"/>
    <w:sig w:usb0="80001827" w:usb1="5000004A" w:usb2="00000020" w:usb3="00000000" w:csb0="0000002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5" w14:textId="77777777" w:rsidR="002C3041" w:rsidRDefault="002C3041" w:rsidP="001207F8">
    <w:pPr>
      <w:pStyle w:val="aa"/>
      <w:framePr w:wrap="around" w:vAnchor="text" w:hAnchor="text" w:xAlign="center" w:y="1"/>
      <w:rPr>
        <w:rStyle w:val="ac"/>
      </w:rPr>
    </w:pPr>
    <w:r>
      <w:rPr>
        <w:rStyle w:val="ac"/>
        <w:rtl/>
      </w:rPr>
      <w:fldChar w:fldCharType="begin"/>
    </w:r>
    <w:r>
      <w:rPr>
        <w:rStyle w:val="ac"/>
      </w:rPr>
      <w:instrText xml:space="preserve">PAGE  </w:instrText>
    </w:r>
    <w:r>
      <w:rPr>
        <w:rStyle w:val="ac"/>
        <w:rtl/>
      </w:rPr>
      <w:fldChar w:fldCharType="end"/>
    </w:r>
  </w:p>
  <w:p w14:paraId="7F6961D6" w14:textId="77777777" w:rsidR="002C3041" w:rsidRDefault="002C304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7" w14:textId="77777777" w:rsidR="002C3041" w:rsidRDefault="002C3041" w:rsidP="001207F8">
    <w:pPr>
      <w:pStyle w:val="aa"/>
      <w:framePr w:wrap="around" w:vAnchor="text" w:hAnchor="text" w:xAlign="center" w:y="1"/>
      <w:rPr>
        <w:rStyle w:val="ac"/>
      </w:rPr>
    </w:pPr>
    <w:r>
      <w:rPr>
        <w:rStyle w:val="ac"/>
        <w:rtl/>
      </w:rPr>
      <w:fldChar w:fldCharType="begin"/>
    </w:r>
    <w:r>
      <w:rPr>
        <w:rStyle w:val="ac"/>
      </w:rPr>
      <w:instrText xml:space="preserve">PAGE  </w:instrText>
    </w:r>
    <w:r>
      <w:rPr>
        <w:rStyle w:val="ac"/>
        <w:rtl/>
      </w:rPr>
      <w:fldChar w:fldCharType="separate"/>
    </w:r>
    <w:r w:rsidR="00BF37E0">
      <w:rPr>
        <w:rStyle w:val="ac"/>
        <w:noProof/>
        <w:rtl/>
      </w:rPr>
      <w:t>2</w:t>
    </w:r>
    <w:r>
      <w:rPr>
        <w:rStyle w:val="ac"/>
        <w:rtl/>
      </w:rPr>
      <w:fldChar w:fldCharType="end"/>
    </w:r>
  </w:p>
  <w:p w14:paraId="7F6961D8" w14:textId="77777777" w:rsidR="002C3041" w:rsidRDefault="002C304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7B9F2" w14:textId="77777777" w:rsidR="00A942C1" w:rsidRDefault="00A942C1">
      <w:r>
        <w:separator/>
      </w:r>
    </w:p>
  </w:footnote>
  <w:footnote w:type="continuationSeparator" w:id="0">
    <w:p w14:paraId="3DB92342" w14:textId="77777777" w:rsidR="00A942C1" w:rsidRDefault="00A942C1">
      <w:r>
        <w:continuationSeparator/>
      </w:r>
    </w:p>
  </w:footnote>
  <w:footnote w:type="continuationNotice" w:id="1">
    <w:p w14:paraId="16009878" w14:textId="77777777" w:rsidR="00A942C1" w:rsidRDefault="00A942C1"/>
  </w:footnote>
  <w:footnote w:id="2">
    <w:p w14:paraId="4E37D1A2" w14:textId="77777777" w:rsidR="007D1E33" w:rsidRDefault="007D1E33" w:rsidP="007D1E33">
      <w:pPr>
        <w:pStyle w:val="a5"/>
      </w:pPr>
      <w:r>
        <w:rPr>
          <w:rStyle w:val="a7"/>
        </w:rPr>
        <w:footnoteRef/>
      </w:r>
      <w:r>
        <w:rPr>
          <w:sz w:val="20"/>
          <w:rtl/>
        </w:rPr>
        <w:t xml:space="preserve"> ס"ח תשנ"ח, 226.</w:t>
      </w:r>
    </w:p>
  </w:footnote>
  <w:footnote w:id="3">
    <w:p w14:paraId="4E72181B" w14:textId="77777777" w:rsidR="007D1E33" w:rsidRDefault="007D1E33" w:rsidP="007D1E33">
      <w:pPr>
        <w:pStyle w:val="a5"/>
      </w:pPr>
      <w:r>
        <w:rPr>
          <w:rStyle w:val="a7"/>
        </w:rPr>
        <w:footnoteRef/>
      </w:r>
      <w:r>
        <w:rPr>
          <w:sz w:val="20"/>
          <w:rtl/>
        </w:rPr>
        <w:t xml:space="preserve"> דיני מדינת ישראל [נוסח חדש], נוסח חדש 10, עמ' 266.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6AAD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5CAE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E88A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DA1E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3056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22F1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06C9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FE92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4246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D088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riginalName" w:val="tmp482240lsCopyOriginal.docx"/>
    <w:docVar w:name="StartMode" w:val="2"/>
  </w:docVars>
  <w:rsids>
    <w:rsidRoot w:val="00DB7060"/>
    <w:rsid w:val="0000131B"/>
    <w:rsid w:val="00015B27"/>
    <w:rsid w:val="00063A3E"/>
    <w:rsid w:val="00072CAC"/>
    <w:rsid w:val="0007681A"/>
    <w:rsid w:val="000A542E"/>
    <w:rsid w:val="00102B6B"/>
    <w:rsid w:val="001052D4"/>
    <w:rsid w:val="0010644B"/>
    <w:rsid w:val="001207F8"/>
    <w:rsid w:val="00121924"/>
    <w:rsid w:val="001279A8"/>
    <w:rsid w:val="0014195F"/>
    <w:rsid w:val="00152609"/>
    <w:rsid w:val="00153E1B"/>
    <w:rsid w:val="001A0623"/>
    <w:rsid w:val="001C23B0"/>
    <w:rsid w:val="001D7AAF"/>
    <w:rsid w:val="00203A7F"/>
    <w:rsid w:val="0021633A"/>
    <w:rsid w:val="002200A1"/>
    <w:rsid w:val="002362BF"/>
    <w:rsid w:val="00241B97"/>
    <w:rsid w:val="002425D1"/>
    <w:rsid w:val="00246756"/>
    <w:rsid w:val="00251E58"/>
    <w:rsid w:val="00254605"/>
    <w:rsid w:val="00266D86"/>
    <w:rsid w:val="002728B4"/>
    <w:rsid w:val="0027600C"/>
    <w:rsid w:val="00292712"/>
    <w:rsid w:val="002A487D"/>
    <w:rsid w:val="002C2E29"/>
    <w:rsid w:val="002C3041"/>
    <w:rsid w:val="002D1EE3"/>
    <w:rsid w:val="002F1D80"/>
    <w:rsid w:val="003232A2"/>
    <w:rsid w:val="00325C14"/>
    <w:rsid w:val="0036422C"/>
    <w:rsid w:val="003710F6"/>
    <w:rsid w:val="00386E88"/>
    <w:rsid w:val="00396585"/>
    <w:rsid w:val="003D6E38"/>
    <w:rsid w:val="003D74A0"/>
    <w:rsid w:val="004033D8"/>
    <w:rsid w:val="004073F0"/>
    <w:rsid w:val="00412A7D"/>
    <w:rsid w:val="00416B4D"/>
    <w:rsid w:val="00417CFC"/>
    <w:rsid w:val="004A06DC"/>
    <w:rsid w:val="004B24ED"/>
    <w:rsid w:val="004B6625"/>
    <w:rsid w:val="004D2D82"/>
    <w:rsid w:val="004D3876"/>
    <w:rsid w:val="004E4552"/>
    <w:rsid w:val="004E6CDF"/>
    <w:rsid w:val="00553C9D"/>
    <w:rsid w:val="00562A66"/>
    <w:rsid w:val="005B064E"/>
    <w:rsid w:val="005D51AE"/>
    <w:rsid w:val="0062674B"/>
    <w:rsid w:val="006363B2"/>
    <w:rsid w:val="00644940"/>
    <w:rsid w:val="006818A9"/>
    <w:rsid w:val="006A2D81"/>
    <w:rsid w:val="006C1D0D"/>
    <w:rsid w:val="0070601E"/>
    <w:rsid w:val="00712C72"/>
    <w:rsid w:val="00735FE9"/>
    <w:rsid w:val="00763CAA"/>
    <w:rsid w:val="00765F66"/>
    <w:rsid w:val="0078664F"/>
    <w:rsid w:val="007C3FA6"/>
    <w:rsid w:val="007D1E33"/>
    <w:rsid w:val="007D585A"/>
    <w:rsid w:val="007D5A12"/>
    <w:rsid w:val="007E59F9"/>
    <w:rsid w:val="00810BCD"/>
    <w:rsid w:val="00812C98"/>
    <w:rsid w:val="00814D92"/>
    <w:rsid w:val="0083181D"/>
    <w:rsid w:val="00843EB2"/>
    <w:rsid w:val="00865572"/>
    <w:rsid w:val="00874BBC"/>
    <w:rsid w:val="00892135"/>
    <w:rsid w:val="00895449"/>
    <w:rsid w:val="00897879"/>
    <w:rsid w:val="008A6870"/>
    <w:rsid w:val="008C2DDC"/>
    <w:rsid w:val="008C7516"/>
    <w:rsid w:val="008E6EC7"/>
    <w:rsid w:val="008F0D63"/>
    <w:rsid w:val="008F1308"/>
    <w:rsid w:val="008F2C35"/>
    <w:rsid w:val="008F6665"/>
    <w:rsid w:val="00904591"/>
    <w:rsid w:val="00905E5F"/>
    <w:rsid w:val="0091204F"/>
    <w:rsid w:val="009203DB"/>
    <w:rsid w:val="00923CD4"/>
    <w:rsid w:val="00930EFE"/>
    <w:rsid w:val="00943386"/>
    <w:rsid w:val="009456B6"/>
    <w:rsid w:val="00957589"/>
    <w:rsid w:val="00966D06"/>
    <w:rsid w:val="00982412"/>
    <w:rsid w:val="00983A8D"/>
    <w:rsid w:val="009A0DB8"/>
    <w:rsid w:val="009A7257"/>
    <w:rsid w:val="009D6E0A"/>
    <w:rsid w:val="009E1E33"/>
    <w:rsid w:val="00A14672"/>
    <w:rsid w:val="00A26BD6"/>
    <w:rsid w:val="00A443CF"/>
    <w:rsid w:val="00A6611D"/>
    <w:rsid w:val="00A82CB7"/>
    <w:rsid w:val="00A942C1"/>
    <w:rsid w:val="00AA2F03"/>
    <w:rsid w:val="00AC36F7"/>
    <w:rsid w:val="00AC63A4"/>
    <w:rsid w:val="00AD239E"/>
    <w:rsid w:val="00B10265"/>
    <w:rsid w:val="00B16A99"/>
    <w:rsid w:val="00B21211"/>
    <w:rsid w:val="00B35784"/>
    <w:rsid w:val="00B733A7"/>
    <w:rsid w:val="00B75C91"/>
    <w:rsid w:val="00B975AD"/>
    <w:rsid w:val="00BC45FB"/>
    <w:rsid w:val="00BF148D"/>
    <w:rsid w:val="00BF37E0"/>
    <w:rsid w:val="00C23B1A"/>
    <w:rsid w:val="00C310EB"/>
    <w:rsid w:val="00C9176A"/>
    <w:rsid w:val="00CF1AA2"/>
    <w:rsid w:val="00D17774"/>
    <w:rsid w:val="00D63620"/>
    <w:rsid w:val="00D8410D"/>
    <w:rsid w:val="00D867D7"/>
    <w:rsid w:val="00DB7060"/>
    <w:rsid w:val="00DE3153"/>
    <w:rsid w:val="00E06736"/>
    <w:rsid w:val="00E13C27"/>
    <w:rsid w:val="00E33BBD"/>
    <w:rsid w:val="00E374F2"/>
    <w:rsid w:val="00E45103"/>
    <w:rsid w:val="00E55A60"/>
    <w:rsid w:val="00E62778"/>
    <w:rsid w:val="00E63D38"/>
    <w:rsid w:val="00E665B9"/>
    <w:rsid w:val="00EA01E6"/>
    <w:rsid w:val="00EA3DE8"/>
    <w:rsid w:val="00EA758F"/>
    <w:rsid w:val="00ED4A6F"/>
    <w:rsid w:val="00EF3A3A"/>
    <w:rsid w:val="00F628D6"/>
    <w:rsid w:val="00F67051"/>
    <w:rsid w:val="00F86A1E"/>
    <w:rsid w:val="00FA5E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o:shapedefaults>
    <o:shapelayout v:ext="edit">
      <o:idmap v:ext="edit" data="1"/>
    </o:shapelayout>
  </w:shapeDefaults>
  <w:doNotEmbedSmartTags/>
  <w:decimalSymbol w:val="."/>
  <w:listSeparator w:val=","/>
  <w14:docId w14:val="7F6961A1"/>
  <w15:docId w15:val="{E7CC2A52-7C30-40EF-A06A-B08F5CE6E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5AD"/>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a"/>
    <w:rsid w:val="00B975AD"/>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B975AD"/>
    <w:rPr>
      <w:sz w:val="36"/>
      <w:szCs w:val="52"/>
    </w:rPr>
  </w:style>
  <w:style w:type="paragraph" w:customStyle="1" w:styleId="Cover3-Haknesset">
    <w:name w:val="Cover 3-Haknesset"/>
    <w:basedOn w:val="Cover1-Reshumot"/>
    <w:rsid w:val="00B975AD"/>
    <w:rPr>
      <w:b/>
      <w:bCs/>
      <w:spacing w:val="60"/>
    </w:rPr>
  </w:style>
  <w:style w:type="paragraph" w:customStyle="1" w:styleId="Cover4-Date">
    <w:name w:val="Cover 4-Date"/>
    <w:basedOn w:val="a"/>
    <w:rsid w:val="00B975AD"/>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a"/>
    <w:rsid w:val="00B975AD"/>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B975AD"/>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HatzaotHok4Futer">
    <w:name w:val="Head HatzaotHok4Futer"/>
    <w:basedOn w:val="HeadHatzaotHok"/>
    <w:rsid w:val="00B975AD"/>
    <w:pPr>
      <w:spacing w:before="120" w:after="120"/>
    </w:pPr>
    <w:rPr>
      <w:color w:val="FF0000"/>
      <w:w w:val="80"/>
    </w:rPr>
  </w:style>
  <w:style w:type="paragraph" w:styleId="a3">
    <w:name w:val="endnote text"/>
    <w:basedOn w:val="a"/>
    <w:link w:val="a4"/>
    <w:uiPriority w:val="99"/>
    <w:rsid w:val="00B975AD"/>
    <w:pPr>
      <w:ind w:left="227" w:hanging="227"/>
    </w:pPr>
    <w:rPr>
      <w:sz w:val="14"/>
      <w:szCs w:val="22"/>
    </w:rPr>
  </w:style>
  <w:style w:type="paragraph" w:customStyle="1" w:styleId="TableText">
    <w:name w:val="Table Text"/>
    <w:basedOn w:val="a"/>
    <w:uiPriority w:val="99"/>
    <w:rsid w:val="00B975AD"/>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uiPriority w:val="99"/>
    <w:rsid w:val="00B975AD"/>
  </w:style>
  <w:style w:type="paragraph" w:customStyle="1" w:styleId="TableBlock">
    <w:name w:val="Table Block"/>
    <w:basedOn w:val="TableText"/>
    <w:uiPriority w:val="99"/>
    <w:rsid w:val="00B975AD"/>
    <w:pPr>
      <w:ind w:right="0"/>
      <w:jc w:val="both"/>
    </w:pPr>
  </w:style>
  <w:style w:type="paragraph" w:customStyle="1" w:styleId="TableHead">
    <w:name w:val="Table Head"/>
    <w:basedOn w:val="TableText"/>
    <w:rsid w:val="00B975AD"/>
    <w:pPr>
      <w:ind w:right="0"/>
      <w:jc w:val="center"/>
    </w:pPr>
    <w:rPr>
      <w:b/>
      <w:bCs/>
    </w:rPr>
  </w:style>
  <w:style w:type="paragraph" w:customStyle="1" w:styleId="TableText2">
    <w:name w:val="Table Text2"/>
    <w:basedOn w:val="TableText"/>
    <w:uiPriority w:val="99"/>
    <w:rsid w:val="00943386"/>
  </w:style>
  <w:style w:type="paragraph" w:customStyle="1" w:styleId="TableInnerSideHeading">
    <w:name w:val="Table InnerSideHeading"/>
    <w:basedOn w:val="TableSideHeading"/>
    <w:uiPriority w:val="99"/>
    <w:rsid w:val="00B975AD"/>
  </w:style>
  <w:style w:type="paragraph" w:customStyle="1" w:styleId="Hesber">
    <w:name w:val="Hesber"/>
    <w:basedOn w:val="a"/>
    <w:uiPriority w:val="99"/>
    <w:rsid w:val="00B975AD"/>
    <w:pPr>
      <w:snapToGrid w:val="0"/>
      <w:spacing w:before="0" w:line="360" w:lineRule="auto"/>
    </w:pPr>
    <w:rPr>
      <w:rFonts w:ascii="Arial" w:eastAsia="Arial Unicode MS" w:hAnsi="Arial" w:cs="David"/>
      <w:snapToGrid w:val="0"/>
      <w:spacing w:val="0"/>
      <w:sz w:val="20"/>
      <w:szCs w:val="26"/>
    </w:rPr>
  </w:style>
  <w:style w:type="paragraph" w:styleId="a5">
    <w:name w:val="footnote text"/>
    <w:basedOn w:val="a"/>
    <w:link w:val="a6"/>
    <w:autoRedefine/>
    <w:uiPriority w:val="99"/>
    <w:rsid w:val="00B975AD"/>
    <w:pPr>
      <w:snapToGrid w:val="0"/>
      <w:spacing w:before="0" w:line="240" w:lineRule="auto"/>
      <w:ind w:left="227" w:hanging="227"/>
      <w:jc w:val="left"/>
    </w:pPr>
    <w:rPr>
      <w:rFonts w:ascii="Arial" w:eastAsia="Arial Unicode MS" w:hAnsi="Arial" w:cs="David"/>
      <w:snapToGrid w:val="0"/>
      <w:spacing w:val="0"/>
      <w:sz w:val="14"/>
      <w:szCs w:val="20"/>
    </w:rPr>
  </w:style>
  <w:style w:type="character" w:styleId="a7">
    <w:name w:val="footnote reference"/>
    <w:basedOn w:val="a0"/>
    <w:uiPriority w:val="99"/>
    <w:rsid w:val="00B975AD"/>
    <w:rPr>
      <w:vertAlign w:val="superscript"/>
    </w:rPr>
  </w:style>
  <w:style w:type="paragraph" w:customStyle="1" w:styleId="HesberHeading">
    <w:name w:val="Hesber Heading"/>
    <w:basedOn w:val="Hesber"/>
    <w:rsid w:val="00B975AD"/>
    <w:pPr>
      <w:tabs>
        <w:tab w:val="left" w:pos="624"/>
        <w:tab w:val="left" w:pos="1247"/>
      </w:tabs>
      <w:ind w:firstLine="0"/>
    </w:pPr>
    <w:rPr>
      <w:b/>
      <w:bCs/>
    </w:rPr>
  </w:style>
  <w:style w:type="paragraph" w:customStyle="1" w:styleId="HesberWriters">
    <w:name w:val="Hesber Writers"/>
    <w:basedOn w:val="Hesber"/>
    <w:rsid w:val="00B975AD"/>
    <w:pPr>
      <w:spacing w:before="120" w:after="6000"/>
      <w:ind w:left="1418" w:firstLine="0"/>
      <w:jc w:val="right"/>
    </w:pPr>
    <w:rPr>
      <w:b/>
      <w:bCs/>
    </w:rPr>
  </w:style>
  <w:style w:type="paragraph" w:customStyle="1" w:styleId="Hesber1st">
    <w:name w:val="Hesber 1st"/>
    <w:basedOn w:val="Hesber"/>
    <w:uiPriority w:val="99"/>
    <w:rsid w:val="00B975AD"/>
    <w:pPr>
      <w:tabs>
        <w:tab w:val="left" w:pos="680"/>
        <w:tab w:val="left" w:pos="1020"/>
      </w:tabs>
      <w:ind w:firstLine="0"/>
    </w:pPr>
  </w:style>
  <w:style w:type="character" w:styleId="a8">
    <w:name w:val="endnote reference"/>
    <w:basedOn w:val="a0"/>
    <w:semiHidden/>
    <w:rsid w:val="00B975AD"/>
    <w:rPr>
      <w:vertAlign w:val="superscript"/>
    </w:rPr>
  </w:style>
  <w:style w:type="paragraph" w:customStyle="1" w:styleId="TableBlockOutdent">
    <w:name w:val="Table BlockOutdent"/>
    <w:basedOn w:val="TableBlock"/>
    <w:uiPriority w:val="99"/>
    <w:rsid w:val="00B975AD"/>
    <w:pPr>
      <w:ind w:left="624" w:hanging="624"/>
    </w:pPr>
  </w:style>
  <w:style w:type="paragraph" w:styleId="a9">
    <w:name w:val="header"/>
    <w:basedOn w:val="a"/>
    <w:rsid w:val="00B975AD"/>
    <w:pPr>
      <w:tabs>
        <w:tab w:val="center" w:pos="4153"/>
        <w:tab w:val="right" w:pos="8306"/>
      </w:tabs>
    </w:pPr>
  </w:style>
  <w:style w:type="paragraph" w:styleId="aa">
    <w:name w:val="footer"/>
    <w:basedOn w:val="a"/>
    <w:rsid w:val="00B975AD"/>
    <w:pPr>
      <w:tabs>
        <w:tab w:val="center" w:pos="4153"/>
        <w:tab w:val="right" w:pos="8306"/>
      </w:tabs>
    </w:pPr>
  </w:style>
  <w:style w:type="paragraph" w:customStyle="1" w:styleId="HeadDivreiHesber">
    <w:name w:val="Head DivreiHesber"/>
    <w:basedOn w:val="a"/>
    <w:rsid w:val="00B975AD"/>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Ragil">
    <w:name w:val="Ragil"/>
    <w:basedOn w:val="a"/>
    <w:rsid w:val="00B975AD"/>
    <w:pPr>
      <w:snapToGrid w:val="0"/>
      <w:spacing w:before="0" w:line="360" w:lineRule="auto"/>
      <w:jc w:val="left"/>
    </w:pPr>
    <w:rPr>
      <w:rFonts w:ascii="Arial" w:eastAsia="Arial Unicode MS" w:hAnsi="Arial" w:cs="David"/>
      <w:snapToGrid w:val="0"/>
      <w:spacing w:val="0"/>
      <w:sz w:val="20"/>
      <w:szCs w:val="26"/>
    </w:rPr>
  </w:style>
  <w:style w:type="paragraph" w:styleId="ab">
    <w:name w:val="Title"/>
    <w:basedOn w:val="a"/>
    <w:qFormat/>
    <w:rsid w:val="00943386"/>
    <w:pPr>
      <w:jc w:val="center"/>
    </w:pPr>
    <w:rPr>
      <w:rFonts w:cs="David"/>
      <w:b/>
      <w:bCs/>
      <w:sz w:val="28"/>
      <w:szCs w:val="28"/>
      <w:u w:val="single"/>
    </w:rPr>
  </w:style>
  <w:style w:type="character" w:styleId="ac">
    <w:name w:val="page number"/>
    <w:basedOn w:val="a0"/>
    <w:rsid w:val="00B975AD"/>
  </w:style>
  <w:style w:type="paragraph" w:customStyle="1" w:styleId="David">
    <w:name w:val="רגיל + (עברית ושפות אחרות) David"/>
    <w:aliases w:val="‏13 נק',מודגש,אחרי:  6 נק'"/>
    <w:basedOn w:val="a"/>
    <w:rsid w:val="001207F8"/>
    <w:pPr>
      <w:ind w:firstLine="0"/>
      <w:jc w:val="left"/>
    </w:pPr>
    <w:rPr>
      <w:rFonts w:cs="David"/>
      <w:sz w:val="26"/>
      <w:szCs w:val="26"/>
    </w:rPr>
  </w:style>
  <w:style w:type="paragraph" w:styleId="ad">
    <w:name w:val="Balloon Text"/>
    <w:basedOn w:val="a"/>
    <w:link w:val="ae"/>
    <w:semiHidden/>
    <w:unhideWhenUsed/>
    <w:rsid w:val="00325C14"/>
    <w:pPr>
      <w:spacing w:before="0" w:line="240" w:lineRule="auto"/>
    </w:pPr>
    <w:rPr>
      <w:rFonts w:ascii="Tahoma" w:hAnsi="Tahoma" w:cs="Tahoma"/>
      <w:sz w:val="16"/>
      <w:szCs w:val="16"/>
    </w:rPr>
  </w:style>
  <w:style w:type="character" w:customStyle="1" w:styleId="ae">
    <w:name w:val="טקסט בלונים תו"/>
    <w:basedOn w:val="a0"/>
    <w:link w:val="ad"/>
    <w:semiHidden/>
    <w:rsid w:val="00325C14"/>
    <w:rPr>
      <w:rFonts w:ascii="Tahoma" w:hAnsi="Tahoma" w:cs="Tahoma"/>
      <w:color w:val="000000"/>
      <w:spacing w:val="1"/>
      <w:sz w:val="16"/>
      <w:szCs w:val="16"/>
      <w:lang w:eastAsia="ja-JP"/>
    </w:rPr>
  </w:style>
  <w:style w:type="character" w:customStyle="1" w:styleId="a6">
    <w:name w:val="טקסט הערת שוליים תו"/>
    <w:link w:val="a5"/>
    <w:uiPriority w:val="99"/>
    <w:locked/>
    <w:rsid w:val="007D1E33"/>
    <w:rPr>
      <w:rFonts w:ascii="Arial" w:eastAsia="Arial Unicode MS" w:hAnsi="Arial" w:cs="David"/>
      <w:snapToGrid w:val="0"/>
      <w:color w:val="000000"/>
      <w:sz w:val="14"/>
      <w:lang w:eastAsia="ja-JP"/>
    </w:rPr>
  </w:style>
  <w:style w:type="character" w:customStyle="1" w:styleId="a4">
    <w:name w:val="טקסט הערת סיום תו"/>
    <w:link w:val="a3"/>
    <w:uiPriority w:val="99"/>
    <w:locked/>
    <w:rsid w:val="007D1E33"/>
    <w:rPr>
      <w:rFonts w:ascii="Hadasa Roso SL" w:hAnsi="Hadasa Roso SL" w:cs="Hadasa Roso SL"/>
      <w:color w:val="000000"/>
      <w:spacing w:val="1"/>
      <w:sz w:val="14"/>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51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86EB84DF20CE4D8D9D1A5C7A92FD24" ma:contentTypeVersion="0" ma:contentTypeDescription="Create a new document." ma:contentTypeScope="" ma:versionID="99fd2faca98684dfaf8c37f6393491f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269B8-BB4F-42B7-802D-5DD76DB16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3CDC32B-DD97-493E-9196-3EF77D6F9C7D}">
  <ds:schemaRefs>
    <ds:schemaRef ds:uri="http://schemas.microsoft.com/sharepoint/v3/contenttype/forms"/>
  </ds:schemaRefs>
</ds:datastoreItem>
</file>

<file path=customXml/itemProps3.xml><?xml version="1.0" encoding="utf-8"?>
<ds:datastoreItem xmlns:ds="http://schemas.openxmlformats.org/officeDocument/2006/customXml" ds:itemID="{88F4AFE3-9455-419C-8851-785A55F4451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973730A-5AB1-4C8C-B795-9F530D226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1042</Words>
  <Characters>5214</Characters>
  <Application>Microsoft Office Word</Application>
  <DocSecurity>0</DocSecurity>
  <Lines>43</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רשומות</vt:lpstr>
      <vt:lpstr>רשומות</vt:lpstr>
    </vt:vector>
  </TitlesOfParts>
  <Company>Knesset</Company>
  <LinksUpToDate>false</LinksUpToDate>
  <CharactersWithSpaces>6244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רשומות</dc:title>
  <dc:creator>מיקה צור</dc:creator>
  <cp:lastModifiedBy>ליאור יעקבי</cp:lastModifiedBy>
  <cp:revision>4</cp:revision>
  <cp:lastPrinted>2017-07-11T09:06:00Z</cp:lastPrinted>
  <dcterms:created xsi:type="dcterms:W3CDTF">2015-04-20T09:58:00Z</dcterms:created>
  <dcterms:modified xsi:type="dcterms:W3CDTF">2017-07-11T09:13:00Z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0x0101008386EB84DF20CE4D8D9D1A5C7A92FD24</vt:lpwstr>
  </property>
  <property fmtid="{D5CDD505-2E9C-101B-9397-08002B2CF9AE}" pid="3" name="_dlc_DocIdItemGuid">
    <vt:lpwstr>8badafff-95aa-4718-b074-a2d35988ffa8</vt:lpwstr>
  </property>
  <property fmtid="{D5CDD505-2E9C-101B-9397-08002B2CF9AE}" pid="4" name="SanhedrinDocumentType">
    <vt:r8>9</vt:r8>
  </property>
  <property fmtid="{D5CDD505-2E9C-101B-9397-08002B2CF9AE}" pid="5" name="SanhedrinItemID">
    <vt:r8>2019888</vt:r8>
  </property>
</Properties>
</file>